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2</w:t>
      </w:r>
      <w:r>
        <w:rPr>
          <w:rFonts w:hint="eastAsia"/>
          <w:b/>
          <w:bCs/>
          <w:sz w:val="36"/>
        </w:rPr>
        <w:t>02</w:t>
      </w:r>
      <w:r>
        <w:rPr>
          <w:rFonts w:hint="eastAsia"/>
          <w:b/>
          <w:bCs/>
          <w:sz w:val="36"/>
          <w:lang w:val="en-US" w:eastAsia="zh-CN"/>
        </w:rPr>
        <w:t>3</w:t>
      </w:r>
      <w:r>
        <w:rPr>
          <w:b/>
          <w:bCs/>
          <w:sz w:val="36"/>
        </w:rPr>
        <w:t>年度内蒙古自治区</w:t>
      </w:r>
    </w:p>
    <w:p>
      <w:pPr>
        <w:snapToGrid w:val="0"/>
        <w:spacing w:line="320" w:lineRule="atLeast"/>
        <w:jc w:val="center"/>
        <w:rPr>
          <w:rFonts w:hint="eastAsia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6"/>
          <w:lang w:eastAsia="zh-CN"/>
        </w:rPr>
        <w:t>高密</w:t>
      </w:r>
      <w:r>
        <w:rPr>
          <w:b/>
          <w:bCs/>
          <w:sz w:val="36"/>
        </w:rPr>
        <w:t>组玉米品种第二年区域试验</w:t>
      </w:r>
      <w:r>
        <w:rPr>
          <w:rFonts w:hint="eastAsia"/>
          <w:b/>
          <w:bCs/>
          <w:sz w:val="36"/>
          <w:lang w:val="en-US" w:eastAsia="zh-CN"/>
        </w:rPr>
        <w:t>情况通报</w:t>
      </w:r>
      <w:bookmarkStart w:id="0" w:name="_GoBack"/>
      <w:bookmarkEnd w:id="0"/>
    </w:p>
    <w:p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1 试验目的</w:t>
      </w:r>
    </w:p>
    <w:p>
      <w:pPr>
        <w:pStyle w:val="3"/>
        <w:ind w:firstLine="480"/>
        <w:rPr>
          <w:rFonts w:ascii="Times New Roman" w:hAnsi="Times New Roman"/>
          <w:sz w:val="24"/>
        </w:rPr>
      </w:pPr>
      <w:r>
        <w:rPr>
          <w:color w:val="000000"/>
          <w:sz w:val="24"/>
        </w:rPr>
        <w:t>根据《中华人民共和国种子法》</w:t>
      </w:r>
      <w:r>
        <w:rPr>
          <w:snapToGrid w:val="0"/>
          <w:kern w:val="0"/>
          <w:sz w:val="24"/>
        </w:rPr>
        <w:t>和</w:t>
      </w:r>
      <w:r>
        <w:rPr>
          <w:color w:val="000000"/>
          <w:sz w:val="24"/>
        </w:rPr>
        <w:t>《主要农作物品种审定办法》有关规定，客观、科学、公正地鉴定评价参试新品种的丰产性、稳产性、适应性、抗</w:t>
      </w:r>
      <w:r>
        <w:rPr>
          <w:color w:val="000000"/>
          <w:kern w:val="0"/>
          <w:sz w:val="24"/>
        </w:rPr>
        <w:t>逆</w:t>
      </w:r>
      <w:r>
        <w:rPr>
          <w:color w:val="000000"/>
          <w:sz w:val="24"/>
        </w:rPr>
        <w:t>性、品质及其他重要特征特性表现，为玉米品种审定提供科学依据</w:t>
      </w:r>
      <w:r>
        <w:rPr>
          <w:rFonts w:ascii="Times New Roman" w:hAnsi="Times New Roman"/>
          <w:sz w:val="24"/>
        </w:rPr>
        <w:t>。</w:t>
      </w:r>
    </w:p>
    <w:p>
      <w:pPr>
        <w:outlineLvl w:val="0"/>
        <w:rPr>
          <w:rFonts w:eastAsia="黑体"/>
          <w:color w:val="auto"/>
          <w:sz w:val="28"/>
        </w:rPr>
      </w:pPr>
      <w:r>
        <w:rPr>
          <w:rFonts w:eastAsia="黑体"/>
          <w:b/>
          <w:bCs/>
          <w:color w:val="auto"/>
          <w:sz w:val="28"/>
        </w:rPr>
        <w:t>2 参试品种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color w:val="auto"/>
          <w:sz w:val="24"/>
        </w:rPr>
        <w:t>本年度参加自治区中熟组玉米品种第二年区域试验的品种共</w:t>
      </w:r>
      <w:r>
        <w:rPr>
          <w:rFonts w:hint="eastAsia"/>
          <w:color w:val="auto"/>
          <w:sz w:val="24"/>
          <w:lang w:val="en-US" w:eastAsia="zh-CN"/>
        </w:rPr>
        <w:t>4</w:t>
      </w:r>
      <w:r>
        <w:rPr>
          <w:color w:val="auto"/>
          <w:sz w:val="24"/>
        </w:rPr>
        <w:t>个，对照品种为</w:t>
      </w:r>
      <w:r>
        <w:rPr>
          <w:rFonts w:hint="eastAsia"/>
          <w:color w:val="auto"/>
          <w:sz w:val="24"/>
        </w:rPr>
        <w:t>先玉335</w:t>
      </w:r>
      <w:r>
        <w:rPr>
          <w:color w:val="auto"/>
          <w:sz w:val="24"/>
        </w:rPr>
        <w:t>，参试品种及分组见表1（详见试验方案）。</w:t>
      </w:r>
    </w:p>
    <w:p>
      <w:pPr>
        <w:spacing w:line="320" w:lineRule="exact"/>
        <w:jc w:val="center"/>
        <w:rPr>
          <w:rFonts w:eastAsia="黑体"/>
          <w:b/>
          <w:bCs/>
          <w:color w:val="auto"/>
          <w:sz w:val="24"/>
        </w:rPr>
      </w:pPr>
      <w:r>
        <w:rPr>
          <w:rFonts w:eastAsia="黑体"/>
          <w:b/>
          <w:bCs/>
          <w:color w:val="auto"/>
          <w:sz w:val="24"/>
        </w:rPr>
        <w:t xml:space="preserve">表1  </w:t>
      </w:r>
      <w:r>
        <w:rPr>
          <w:rFonts w:eastAsia="黑体"/>
          <w:b/>
          <w:color w:val="auto"/>
          <w:sz w:val="24"/>
        </w:rPr>
        <w:t>20</w:t>
      </w:r>
      <w:r>
        <w:rPr>
          <w:rFonts w:hint="eastAsia" w:eastAsia="黑体"/>
          <w:b/>
          <w:color w:val="auto"/>
          <w:sz w:val="24"/>
        </w:rPr>
        <w:t>2</w:t>
      </w:r>
      <w:r>
        <w:rPr>
          <w:rFonts w:hint="eastAsia" w:eastAsia="黑体"/>
          <w:b/>
          <w:color w:val="auto"/>
          <w:sz w:val="24"/>
          <w:lang w:val="en-US" w:eastAsia="zh-CN"/>
        </w:rPr>
        <w:t>3</w:t>
      </w:r>
      <w:r>
        <w:rPr>
          <w:rFonts w:eastAsia="黑体"/>
          <w:b/>
          <w:color w:val="auto"/>
          <w:sz w:val="24"/>
        </w:rPr>
        <w:t>年自治区中熟组玉米品种第二年区域试验参试品种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5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eastAsia="黑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序号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利禾2236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利合2266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宇科2302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0"/>
              <w:rPr>
                <w:rFonts w:eastAsia="黑体"/>
                <w:color w:val="auto"/>
                <w:sz w:val="24"/>
              </w:rPr>
            </w:pPr>
            <w:r>
              <w:rPr>
                <w:rFonts w:hint="eastAsia" w:eastAsia="黑体"/>
                <w:color w:val="auto"/>
                <w:sz w:val="24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JN5228</w:t>
            </w:r>
          </w:p>
        </w:tc>
      </w:tr>
    </w:tbl>
    <w:p>
      <w:pPr>
        <w:outlineLvl w:val="0"/>
        <w:rPr>
          <w:rFonts w:eastAsia="黑体"/>
          <w:b/>
          <w:bCs/>
          <w:color w:val="auto"/>
          <w:sz w:val="28"/>
        </w:rPr>
      </w:pPr>
      <w:r>
        <w:rPr>
          <w:rFonts w:hint="eastAsia" w:eastAsia="黑体"/>
          <w:b/>
          <w:bCs/>
          <w:color w:val="auto"/>
          <w:sz w:val="28"/>
        </w:rPr>
        <w:t>3试验方法</w:t>
      </w:r>
    </w:p>
    <w:p>
      <w:pPr>
        <w:pStyle w:val="3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试验采用随机区组排列法，2次重复，小区面积20m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，必须种植为5行区，种植密度统一为</w:t>
      </w:r>
      <w:r>
        <w:rPr>
          <w:rFonts w:hint="eastAsia" w:ascii="Times New Roman" w:hAnsi="Times New Roman"/>
          <w:sz w:val="24"/>
          <w:lang w:val="en-US" w:eastAsia="zh-CN"/>
        </w:rPr>
        <w:t>5</w:t>
      </w:r>
      <w:r>
        <w:rPr>
          <w:rFonts w:ascii="Times New Roman" w:hAnsi="Times New Roman"/>
          <w:sz w:val="24"/>
        </w:rPr>
        <w:t>500株/亩。</w:t>
      </w:r>
    </w:p>
    <w:p>
      <w:pPr>
        <w:outlineLvl w:val="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4</w:t>
      </w:r>
      <w:r>
        <w:rPr>
          <w:rFonts w:eastAsia="黑体"/>
          <w:b/>
          <w:bCs/>
          <w:sz w:val="28"/>
        </w:rPr>
        <w:t>气候情况</w:t>
      </w:r>
    </w:p>
    <w:p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内蒙古丰垦种业有限责任公司</w:t>
      </w:r>
      <w:r>
        <w:rPr>
          <w:rFonts w:hint="eastAsia"/>
          <w:sz w:val="24"/>
        </w:rPr>
        <w:t>：5、6月份干旱少雨低温，7、8、9月份降水量和平均气温比常年基本相似，全生育期内无特大灾害性天气，参试品种长势好产量高。</w:t>
      </w:r>
    </w:p>
    <w:p>
      <w:pPr>
        <w:ind w:firstLine="723" w:firstLineChars="300"/>
        <w:rPr>
          <w:sz w:val="24"/>
        </w:rPr>
      </w:pPr>
      <w:r>
        <w:rPr>
          <w:rFonts w:hint="eastAsia"/>
          <w:b/>
          <w:i w:val="0"/>
          <w:iCs w:val="0"/>
          <w:sz w:val="24"/>
          <w:lang w:eastAsia="zh-CN"/>
        </w:rPr>
        <w:t>内蒙古西蒙种业有限公司</w:t>
      </w:r>
      <w:r>
        <w:rPr>
          <w:rFonts w:hint="eastAsia"/>
          <w:sz w:val="24"/>
        </w:rPr>
        <w:t>： 全年整体气候干旱少雨，9月14日有8级以上大风，造成局部地块玉米品种倒折。</w:t>
      </w:r>
    </w:p>
    <w:p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喀喇沁旗三泰种业有限公司</w:t>
      </w:r>
      <w:r>
        <w:rPr>
          <w:rFonts w:hint="eastAsia"/>
          <w:sz w:val="24"/>
        </w:rPr>
        <w:t>：5-6月份低温，7-8月份干旱少雨。</w:t>
      </w:r>
    </w:p>
    <w:p>
      <w:pPr>
        <w:ind w:firstLine="723" w:firstLineChars="300"/>
        <w:rPr>
          <w:rFonts w:hint="eastAsia"/>
          <w:b w:val="0"/>
          <w:bCs/>
          <w:i w:val="0"/>
          <w:iCs w:val="0"/>
          <w:sz w:val="24"/>
        </w:rPr>
      </w:pPr>
      <w:r>
        <w:rPr>
          <w:rFonts w:hint="eastAsia"/>
          <w:b/>
          <w:i w:val="0"/>
          <w:iCs w:val="0"/>
          <w:sz w:val="24"/>
        </w:rPr>
        <w:t>通辽市农牧科学研究所</w:t>
      </w:r>
      <w:r>
        <w:rPr>
          <w:rFonts w:hint="eastAsia"/>
          <w:b/>
          <w:i w:val="0"/>
          <w:iCs w:val="0"/>
          <w:sz w:val="24"/>
          <w:lang w:eastAsia="zh-CN"/>
        </w:rPr>
        <w:t>：</w:t>
      </w:r>
      <w:r>
        <w:rPr>
          <w:rFonts w:hint="eastAsia"/>
          <w:b w:val="0"/>
          <w:bCs/>
          <w:i w:val="0"/>
          <w:iCs w:val="0"/>
          <w:sz w:val="24"/>
        </w:rPr>
        <w:t>生育期间（5-10月初）≥10℃活动积温3427.3℃，较常年高111.2℃；总降水量为356.1mm，较常年少38.9mm；总日照时数1341.9时，较常年多113.3时。10月5日初霜，未影响正常成熟。授粉期高温造成部分品种有秃尖。叶斑病发病较重，尤其大斑病较往年严重。全生育期无风灾雹灾。</w:t>
      </w:r>
    </w:p>
    <w:p>
      <w:pPr>
        <w:ind w:firstLine="723" w:firstLineChars="300"/>
        <w:rPr>
          <w:rFonts w:hint="eastAsia"/>
          <w:sz w:val="24"/>
        </w:rPr>
      </w:pPr>
      <w:r>
        <w:rPr>
          <w:rFonts w:hint="eastAsia"/>
          <w:b/>
          <w:i w:val="0"/>
          <w:iCs w:val="0"/>
          <w:sz w:val="24"/>
        </w:rPr>
        <w:t>内蒙古蒙龙种业科技有限公司</w:t>
      </w:r>
      <w:r>
        <w:rPr>
          <w:rFonts w:hint="eastAsia"/>
          <w:sz w:val="24"/>
        </w:rPr>
        <w:t>： 赤峰地区全年少雨干旱，春季干旱严重，播种后滴灌，5-6月份无降雨，苗期进行浇水滴灌，7-8月份天气高温干旱，高温导致花期授粉结实率低，玉米秃尖严重，8月下旬至9月中上旬温度偏高，初霜期10月5日。</w:t>
      </w:r>
    </w:p>
    <w:p>
      <w:pPr>
        <w:ind w:firstLine="723" w:firstLineChars="300"/>
        <w:rPr>
          <w:rFonts w:hint="eastAsia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鄂尔多斯市农牧业科学研究院</w:t>
      </w:r>
      <w:r>
        <w:rPr>
          <w:rFonts w:hint="eastAsia" w:cs="Times New Roman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：</w:t>
      </w:r>
      <w:r>
        <w:rPr>
          <w:rFonts w:hint="eastAsia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今年4-5月份气温偏低，风沙大，播种时间较往年略有退后，整个生长前期干旱少雨，拔节期开始，雨水逐步与往年持平。7-8月份气温偏高。</w:t>
      </w:r>
    </w:p>
    <w:p>
      <w:pPr>
        <w:jc w:val="both"/>
        <w:rPr>
          <w:rFonts w:hint="eastAsia"/>
          <w:b w:val="0"/>
          <w:bCs/>
          <w:sz w:val="24"/>
          <w:lang w:eastAsia="zh-CN"/>
        </w:rPr>
        <w:sectPr>
          <w:footerReference r:id="rId3" w:type="default"/>
          <w:footerReference r:id="rId4" w:type="even"/>
          <w:pgSz w:w="11906" w:h="16838"/>
          <w:pgMar w:top="1418" w:right="794" w:bottom="1134" w:left="1361" w:header="851" w:footer="680" w:gutter="0"/>
          <w:pgNumType w:start="1"/>
          <w:cols w:space="425" w:num="1"/>
          <w:docGrid w:linePitch="312" w:charSpace="0"/>
        </w:sectPr>
      </w:pPr>
      <w:r>
        <w:rPr>
          <w:rFonts w:hint="eastAsia"/>
          <w:b/>
          <w:bCs w:val="0"/>
          <w:sz w:val="24"/>
          <w:lang w:val="en-US" w:eastAsia="zh-CN"/>
        </w:rPr>
        <w:t xml:space="preserve">     </w:t>
      </w:r>
      <w:r>
        <w:rPr>
          <w:rFonts w:hint="eastAsia"/>
          <w:b/>
          <w:bCs w:val="0"/>
          <w:sz w:val="24"/>
          <w:lang w:eastAsia="zh-CN"/>
        </w:rPr>
        <w:t>内蒙古自治区农牧科学院</w:t>
      </w:r>
      <w:r>
        <w:rPr>
          <w:rFonts w:hint="eastAsia"/>
          <w:b w:val="0"/>
          <w:bCs/>
          <w:sz w:val="24"/>
          <w:lang w:eastAsia="zh-CN"/>
        </w:rPr>
        <w:t>：春季多雨，苗期墒情不错。6月下旬至7月中下旬降雨浇水，7月末至8月初连续降雨，8月中干旱少雨。</w:t>
      </w:r>
    </w:p>
    <w:p>
      <w:pPr>
        <w:ind w:firstLine="5060" w:firstLineChars="2100"/>
        <w:rPr>
          <w:rFonts w:eastAsia="黑体"/>
          <w:b/>
          <w:bCs/>
          <w:sz w:val="24"/>
        </w:rPr>
      </w:pPr>
      <w:r>
        <w:rPr>
          <w:rFonts w:eastAsia="黑体"/>
          <w:b/>
          <w:bCs/>
          <w:sz w:val="24"/>
        </w:rPr>
        <w:t>表2   试验执行情况</w:t>
      </w:r>
    </w:p>
    <w:tbl>
      <w:tblPr>
        <w:tblStyle w:val="6"/>
        <w:tblW w:w="12073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0" w:type="dxa"/>
          <w:right w:w="28" w:type="dxa"/>
        </w:tblCellMar>
      </w:tblPr>
      <w:tblGrid>
        <w:gridCol w:w="1543"/>
        <w:gridCol w:w="1560"/>
        <w:gridCol w:w="1545"/>
        <w:gridCol w:w="1365"/>
        <w:gridCol w:w="1470"/>
        <w:gridCol w:w="1278"/>
        <w:gridCol w:w="1737"/>
        <w:gridCol w:w="15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54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承试单位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内蒙古丰垦种业有限责任公司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鄂尔多斯市农牧业科学研究院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喀喇沁旗三泰种业有限公司</w:t>
            </w:r>
          </w:p>
        </w:tc>
        <w:tc>
          <w:tcPr>
            <w:tcW w:w="14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通辽市农牧科学研究所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内蒙古西蒙种业有限公司</w:t>
            </w:r>
          </w:p>
        </w:tc>
        <w:tc>
          <w:tcPr>
            <w:tcW w:w="173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内蒙古蒙龙种业科技有限公司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徐德强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常国有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王久丰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包额尔敦嘎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陶昕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侯宇春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薛春雷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参试品种数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前茬作物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土质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粘土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砂土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壤土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小区行数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小区行长</w:t>
            </w:r>
            <w:r>
              <w:rPr>
                <w:rStyle w:val="12"/>
                <w:rFonts w:eastAsia="宋体"/>
                <w:lang w:val="en-US" w:eastAsia="zh-CN" w:bidi="ar"/>
              </w:rPr>
              <w:t>(m)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行距</w:t>
            </w:r>
            <w:r>
              <w:rPr>
                <w:rStyle w:val="12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47.0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 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株距</w:t>
            </w:r>
            <w:r>
              <w:rPr>
                <w:rStyle w:val="12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24.3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实际小区面积</w:t>
            </w:r>
            <w:r>
              <w:rPr>
                <w:rStyle w:val="12"/>
                <w:rFonts w:eastAsia="宋体"/>
                <w:lang w:val="en-US" w:eastAsia="zh-CN" w:bidi="ar"/>
              </w:rPr>
              <w:t>(m</w:t>
            </w:r>
            <w:r>
              <w:rPr>
                <w:rStyle w:val="13"/>
                <w:rFonts w:eastAsia="宋体"/>
                <w:lang w:val="en-US" w:eastAsia="zh-CN" w:bidi="ar"/>
              </w:rPr>
              <w:t>2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21.3 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 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 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实际密度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株</w:t>
            </w:r>
            <w:r>
              <w:rPr>
                <w:rStyle w:val="12"/>
                <w:rFonts w:eastAsia="宋体"/>
                <w:lang w:val="en-US" w:eastAsia="zh-CN" w:bidi="ar"/>
              </w:rPr>
              <w:t>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5501 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5398 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5498 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5501 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5501 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5487 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汇地方式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冬汇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春汇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春汇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播后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播种方法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覆膜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播种期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-</w:t>
            </w:r>
            <w:r>
              <w:rPr>
                <w:rStyle w:val="11"/>
                <w:lang w:val="en-US" w:eastAsia="zh-CN" w:bidi="ar"/>
              </w:rPr>
              <w:t>日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5/10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5/3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5/5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5/14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5/6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5/8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定苗期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-</w:t>
            </w:r>
            <w:r>
              <w:rPr>
                <w:rStyle w:val="11"/>
                <w:lang w:val="en-US" w:eastAsia="zh-CN" w:bidi="ar"/>
              </w:rPr>
              <w:t>日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6/6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6/1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1/0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6/2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5/22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5/28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5/26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收获期</w:t>
            </w:r>
            <w:r>
              <w:rPr>
                <w:rStyle w:val="12"/>
                <w:rFonts w:eastAsia="宋体"/>
                <w:lang w:val="en-US" w:eastAsia="zh-CN" w:bidi="ar"/>
              </w:rPr>
              <w:t>(</w:t>
            </w:r>
            <w:r>
              <w:rPr>
                <w:rStyle w:val="11"/>
                <w:lang w:val="en-US" w:eastAsia="zh-CN" w:bidi="ar"/>
              </w:rPr>
              <w:t>月</w:t>
            </w:r>
            <w:r>
              <w:rPr>
                <w:rStyle w:val="12"/>
                <w:rFonts w:eastAsia="宋体"/>
                <w:lang w:val="en-US" w:eastAsia="zh-CN" w:bidi="ar"/>
              </w:rPr>
              <w:t>-</w:t>
            </w:r>
            <w:r>
              <w:rPr>
                <w:rStyle w:val="11"/>
                <w:lang w:val="en-US" w:eastAsia="zh-CN" w:bidi="ar"/>
              </w:rPr>
              <w:t>日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10/10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10/11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10/5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10/12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10/11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10/20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10/9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生育期灌水次数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基肥种类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农家肥、、、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389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基肥用量</w:t>
            </w:r>
            <w:r>
              <w:rPr>
                <w:rStyle w:val="12"/>
                <w:rFonts w:eastAsia="宋体"/>
                <w:lang w:val="en-US" w:eastAsia="zh-CN" w:bidi="ar"/>
              </w:rPr>
              <w:t>(kg/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1500、、、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50、、、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40、、、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458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种肥种类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硫酸钾、、、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磷酸二铵、、、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种肥量</w:t>
            </w:r>
            <w:r>
              <w:rPr>
                <w:rStyle w:val="12"/>
                <w:rFonts w:eastAsia="宋体"/>
                <w:lang w:val="en-US" w:eastAsia="zh-CN" w:bidi="ar"/>
              </w:rPr>
              <w:t>(kg/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17.5、、、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6、、、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追肥次数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2" w:hRule="atLeast"/>
        </w:trPr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追肥种类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54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尿素、尿素、、</w:t>
            </w:r>
          </w:p>
        </w:tc>
        <w:tc>
          <w:tcPr>
            <w:tcW w:w="173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尿素、、、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28" w:type="dxa"/>
            <w:left w:w="28" w:type="dxa"/>
            <w:bottom w:w="0" w:type="dxa"/>
            <w:right w:w="28" w:type="dxa"/>
          </w:tblCellMar>
        </w:tblPrEx>
        <w:trPr>
          <w:trHeight w:val="258" w:hRule="atLeast"/>
        </w:trPr>
        <w:tc>
          <w:tcPr>
            <w:tcW w:w="15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11"/>
                <w:lang w:val="en-US" w:eastAsia="zh-CN" w:bidi="ar"/>
              </w:rPr>
              <w:t>追肥量</w:t>
            </w:r>
            <w:r>
              <w:rPr>
                <w:rStyle w:val="12"/>
                <w:rFonts w:eastAsia="宋体"/>
                <w:lang w:val="en-US" w:eastAsia="zh-CN" w:bidi="ar"/>
              </w:rPr>
              <w:t>(kg/</w:t>
            </w:r>
            <w:r>
              <w:rPr>
                <w:rStyle w:val="11"/>
                <w:lang w:val="en-US" w:eastAsia="zh-CN" w:bidi="ar"/>
              </w:rPr>
              <w:t>亩</w:t>
            </w:r>
            <w:r>
              <w:rPr>
                <w:rStyle w:val="12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30、、、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35、、、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30、20、、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、、、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40、、、</w:t>
            </w:r>
          </w:p>
        </w:tc>
      </w:tr>
    </w:tbl>
    <w:p>
      <w:pPr>
        <w:jc w:val="both"/>
        <w:rPr>
          <w:rFonts w:hint="eastAsia"/>
          <w:b w:val="0"/>
          <w:bCs/>
          <w:sz w:val="24"/>
          <w:lang w:eastAsia="zh-CN"/>
        </w:rPr>
        <w:sectPr>
          <w:pgSz w:w="16838" w:h="11906" w:orient="landscape"/>
          <w:pgMar w:top="1361" w:right="1418" w:bottom="794" w:left="1134" w:header="851" w:footer="680" w:gutter="0"/>
          <w:cols w:space="425" w:num="1"/>
          <w:docGrid w:linePitch="312" w:charSpace="0"/>
        </w:sectPr>
      </w:pPr>
    </w:p>
    <w:p>
      <w:pPr>
        <w:outlineLvl w:val="0"/>
        <w:rPr>
          <w:rFonts w:eastAsia="黑体"/>
          <w:b/>
          <w:bCs/>
          <w:sz w:val="24"/>
        </w:rPr>
      </w:pPr>
      <w:r>
        <w:rPr>
          <w:rFonts w:hint="eastAsia" w:eastAsia="黑体"/>
          <w:b/>
          <w:bCs/>
          <w:sz w:val="28"/>
        </w:rPr>
        <w:t>5</w:t>
      </w:r>
      <w:r>
        <w:rPr>
          <w:rFonts w:eastAsia="黑体"/>
          <w:b/>
          <w:bCs/>
          <w:sz w:val="28"/>
        </w:rPr>
        <w:t>试验执行情况</w:t>
      </w:r>
    </w:p>
    <w:p>
      <w:pPr>
        <w:widowControl/>
        <w:ind w:firstLine="480" w:firstLineChars="200"/>
        <w:rPr>
          <w:sz w:val="24"/>
        </w:rPr>
      </w:pPr>
      <w:r>
        <w:rPr>
          <w:sz w:val="24"/>
        </w:rPr>
        <w:t>本年度试验设</w:t>
      </w: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>个试验点，各试点均按照试验方案认真执行，各试点均设在地势平坦、肥力中等偏上、有灌溉条件的试验地中，5月初播种，</w:t>
      </w:r>
      <w:r>
        <w:rPr>
          <w:rFonts w:hint="eastAsia"/>
          <w:sz w:val="24"/>
        </w:rPr>
        <w:t>1</w:t>
      </w:r>
      <w:r>
        <w:rPr>
          <w:sz w:val="24"/>
        </w:rPr>
        <w:t>0月</w:t>
      </w:r>
      <w:r>
        <w:rPr>
          <w:rFonts w:hint="eastAsia"/>
          <w:sz w:val="24"/>
        </w:rPr>
        <w:t>中</w:t>
      </w:r>
      <w:r>
        <w:rPr>
          <w:sz w:val="24"/>
        </w:rPr>
        <w:t>旬</w:t>
      </w:r>
      <w:r>
        <w:rPr>
          <w:rFonts w:hint="eastAsia"/>
          <w:sz w:val="24"/>
        </w:rPr>
        <w:t>由自治区专家组统一组织联合测产，</w:t>
      </w:r>
      <w:r>
        <w:rPr>
          <w:sz w:val="24"/>
        </w:rPr>
        <w:t>试验执行情况见表2。</w:t>
      </w:r>
    </w:p>
    <w:p>
      <w:pPr>
        <w:outlineLvl w:val="0"/>
        <w:rPr>
          <w:rFonts w:eastAsia="黑体"/>
          <w:b/>
          <w:bCs/>
          <w:sz w:val="28"/>
        </w:rPr>
      </w:pPr>
      <w:r>
        <w:rPr>
          <w:rFonts w:eastAsia="黑体"/>
          <w:b/>
          <w:bCs/>
          <w:sz w:val="28"/>
        </w:rPr>
        <w:t>6 试验结果与分析</w:t>
      </w:r>
    </w:p>
    <w:p>
      <w:pPr>
        <w:widowControl/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4"/>
        </w:rPr>
        <w:t xml:space="preserve">6.1 </w:t>
      </w:r>
      <w:r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  <w:t>方差分析</w:t>
      </w:r>
    </w:p>
    <w:p>
      <w:pPr>
        <w:widowControl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对产量结果进行联合方差分析（见表3）：</w:t>
      </w:r>
      <w:r>
        <w:rPr>
          <w:rFonts w:hint="eastAsia" w:cs="Times New Roman"/>
          <w:color w:val="auto"/>
          <w:sz w:val="24"/>
          <w:szCs w:val="24"/>
          <w:lang w:eastAsia="zh-CN"/>
        </w:rPr>
        <w:t>高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密2</w:t>
      </w:r>
      <w:r>
        <w:rPr>
          <w:rFonts w:hint="eastAsia" w:cs="Times New Roman"/>
          <w:color w:val="auto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7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点）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试点间、品种间差异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均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达极显著水平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(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p&lt;0.01)。</w:t>
      </w:r>
    </w:p>
    <w:p>
      <w:pPr>
        <w:tabs>
          <w:tab w:val="left" w:pos="8820"/>
        </w:tabs>
        <w:ind w:firstLine="482" w:firstLineChars="200"/>
        <w:jc w:val="center"/>
        <w:rPr>
          <w:rFonts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color w:val="auto"/>
          <w:sz w:val="24"/>
          <w:szCs w:val="24"/>
        </w:rPr>
        <w:t>表3  方差分析表</w:t>
      </w:r>
    </w:p>
    <w:tbl>
      <w:tblPr>
        <w:tblStyle w:val="6"/>
        <w:tblW w:w="743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116"/>
        <w:gridCol w:w="1319"/>
        <w:gridCol w:w="1258"/>
        <w:gridCol w:w="1296"/>
        <w:gridCol w:w="85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变异来源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自由度</w:t>
            </w:r>
          </w:p>
        </w:tc>
        <w:tc>
          <w:tcPr>
            <w:tcW w:w="131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平方和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均方</w:t>
            </w:r>
          </w:p>
        </w:tc>
        <w:tc>
          <w:tcPr>
            <w:tcW w:w="12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F值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 xml:space="preserve">Prob.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品种</w:t>
            </w:r>
          </w:p>
        </w:tc>
        <w:tc>
          <w:tcPr>
            <w:tcW w:w="1116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3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MingLiU" w:hAnsi="MingLiU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125329.681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41776.560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13.045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试点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6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720853.357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120142.226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37.514</w:t>
            </w: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.000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误差</w:t>
            </w: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18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57646.871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3202.604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  <w:t>总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变异</w:t>
            </w:r>
          </w:p>
        </w:tc>
        <w:tc>
          <w:tcPr>
            <w:tcW w:w="111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宋体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27</w:t>
            </w:r>
          </w:p>
        </w:tc>
        <w:tc>
          <w:tcPr>
            <w:tcW w:w="1319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903829.910</w:t>
            </w:r>
          </w:p>
        </w:tc>
        <w:tc>
          <w:tcPr>
            <w:tcW w:w="1258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296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</w:tbl>
    <w:p>
      <w:pPr>
        <w:tabs>
          <w:tab w:val="left" w:pos="8820"/>
        </w:tabs>
        <w:snapToGrid w:val="0"/>
        <w:spacing w:before="50" w:after="50"/>
        <w:rPr>
          <w:rFonts w:ascii="Times New Roman" w:hAnsi="Times New Roman" w:eastAsia="宋体" w:cs="Times New Roman"/>
          <w:b/>
          <w:bCs/>
          <w:color w:val="auto"/>
          <w:sz w:val="28"/>
          <w:szCs w:val="24"/>
        </w:rPr>
      </w:pPr>
    </w:p>
    <w:p>
      <w:pPr>
        <w:tabs>
          <w:tab w:val="left" w:pos="8820"/>
        </w:tabs>
        <w:snapToGrid w:val="0"/>
        <w:spacing w:before="50" w:after="50"/>
        <w:rPr>
          <w:rFonts w:ascii="Times New Roman" w:hAnsi="Times New Roman" w:eastAsia="黑体" w:cs="Times New Roman"/>
          <w:b/>
          <w:bCs/>
          <w:color w:val="auto"/>
          <w:sz w:val="28"/>
          <w:szCs w:val="24"/>
        </w:rPr>
      </w:pPr>
      <w:r>
        <w:rPr>
          <w:rFonts w:ascii="Times New Roman" w:hAnsi="Times New Roman" w:eastAsia="宋体" w:cs="Times New Roman"/>
          <w:b/>
          <w:bCs/>
          <w:color w:val="auto"/>
          <w:sz w:val="28"/>
          <w:szCs w:val="24"/>
        </w:rPr>
        <w:t xml:space="preserve">6.2 </w:t>
      </w:r>
      <w:r>
        <w:rPr>
          <w:rFonts w:ascii="Times New Roman" w:hAnsi="Times New Roman" w:eastAsia="楷体_GB2312" w:cs="Times New Roman"/>
          <w:b/>
          <w:bCs/>
          <w:color w:val="auto"/>
          <w:sz w:val="28"/>
          <w:szCs w:val="24"/>
        </w:rPr>
        <w:t>稳定性分析</w:t>
      </w:r>
    </w:p>
    <w:p>
      <w:pPr>
        <w:ind w:firstLine="48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参试品种的稳定性分析详见表4。</w:t>
      </w:r>
    </w:p>
    <w:p>
      <w:pPr>
        <w:tabs>
          <w:tab w:val="left" w:pos="8820"/>
        </w:tabs>
        <w:jc w:val="center"/>
        <w:rPr>
          <w:rFonts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color w:val="auto"/>
          <w:sz w:val="24"/>
          <w:szCs w:val="24"/>
        </w:rPr>
        <w:t>表4   产量稳定性分析表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16"/>
        <w:gridCol w:w="1112"/>
        <w:gridCol w:w="839"/>
        <w:gridCol w:w="1112"/>
        <w:gridCol w:w="1331"/>
        <w:gridCol w:w="72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tblHeader/>
          <w:jc w:val="center"/>
        </w:trPr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品种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平均亩量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(kg)</w:t>
            </w:r>
          </w:p>
        </w:tc>
        <w:tc>
          <w:tcPr>
            <w:tcW w:w="839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对CK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(±%)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变异系数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C.V</w:t>
            </w:r>
          </w:p>
        </w:tc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适应性参数</w:t>
            </w:r>
          </w:p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  <w:vertAlign w:val="subscript"/>
              </w:rPr>
              <w:t>i</w:t>
            </w:r>
          </w:p>
        </w:tc>
        <w:tc>
          <w:tcPr>
            <w:tcW w:w="72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8820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|a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  <w:vertAlign w:val="subscript"/>
              </w:rPr>
              <w:t>i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-1|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1216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JN5228</w:t>
            </w:r>
          </w:p>
        </w:tc>
        <w:tc>
          <w:tcPr>
            <w:tcW w:w="1112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1134.143 </w:t>
            </w:r>
          </w:p>
        </w:tc>
        <w:tc>
          <w:tcPr>
            <w:tcW w:w="839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6.40 </w:t>
            </w:r>
          </w:p>
        </w:tc>
        <w:tc>
          <w:tcPr>
            <w:tcW w:w="1112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16.992 </w:t>
            </w:r>
          </w:p>
        </w:tc>
        <w:tc>
          <w:tcPr>
            <w:tcW w:w="1331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0.095 </w:t>
            </w:r>
          </w:p>
        </w:tc>
        <w:tc>
          <w:tcPr>
            <w:tcW w:w="728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0.905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利禾</w:t>
            </w: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2236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1064.671 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-0.06 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17.866 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0.100 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0.900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16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利</w:t>
            </w:r>
            <w:r>
              <w:rPr>
                <w:rFonts w:hint="eastAsia" w:ascii="MingLiU" w:hAnsi="MingLiU"/>
                <w:color w:val="auto"/>
                <w:sz w:val="18"/>
                <w:szCs w:val="18"/>
                <w:lang w:eastAsia="zh-CN"/>
              </w:rPr>
              <w:t>合</w:t>
            </w: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2266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1056.786 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-0.83 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18.629 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0.105 </w:t>
            </w:r>
          </w:p>
        </w:tc>
        <w:tc>
          <w:tcPr>
            <w:tcW w:w="728" w:type="dxa"/>
            <w:tcBorders>
              <w:top w:val="nil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0.895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1216" w:type="dxa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hint="eastAsia" w:ascii="MingLiU" w:hAnsi="MingLiU" w:eastAsia="MingLiU"/>
                <w:color w:val="auto"/>
                <w:sz w:val="18"/>
                <w:szCs w:val="18"/>
              </w:rPr>
              <w:t>宇科</w:t>
            </w: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>2302</w:t>
            </w:r>
          </w:p>
        </w:tc>
        <w:tc>
          <w:tcPr>
            <w:tcW w:w="1112" w:type="dxa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947.214 </w:t>
            </w:r>
          </w:p>
        </w:tc>
        <w:tc>
          <w:tcPr>
            <w:tcW w:w="839" w:type="dxa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-10.71 </w:t>
            </w:r>
          </w:p>
        </w:tc>
        <w:tc>
          <w:tcPr>
            <w:tcW w:w="1112" w:type="dxa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14.034 </w:t>
            </w:r>
          </w:p>
        </w:tc>
        <w:tc>
          <w:tcPr>
            <w:tcW w:w="1331" w:type="dxa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0.079 </w:t>
            </w:r>
          </w:p>
        </w:tc>
        <w:tc>
          <w:tcPr>
            <w:tcW w:w="728" w:type="dxa"/>
            <w:tcBorders>
              <w:top w:val="nil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MingLiU" w:hAnsi="MingLiU" w:eastAsia="MingLiU"/>
                <w:color w:val="auto"/>
                <w:sz w:val="18"/>
                <w:szCs w:val="18"/>
              </w:rPr>
            </w:pPr>
            <w:r>
              <w:rPr>
                <w:rFonts w:ascii="MingLiU" w:hAnsi="MingLiU" w:eastAsia="MingLiU"/>
                <w:color w:val="auto"/>
                <w:sz w:val="18"/>
                <w:szCs w:val="18"/>
              </w:rPr>
              <w:t xml:space="preserve">0.921 </w:t>
            </w:r>
          </w:p>
        </w:tc>
      </w:tr>
    </w:tbl>
    <w:p>
      <w:pPr>
        <w:widowControl/>
        <w:rPr>
          <w:rFonts w:eastAsia="楷体_GB2312"/>
          <w:b/>
          <w:bCs/>
          <w:color w:val="FF0000"/>
          <w:sz w:val="28"/>
        </w:rPr>
      </w:pPr>
    </w:p>
    <w:p>
      <w:pPr>
        <w:tabs>
          <w:tab w:val="left" w:pos="8820"/>
        </w:tabs>
        <w:jc w:val="center"/>
        <w:rPr>
          <w:rFonts w:eastAsia="黑体"/>
          <w:b/>
          <w:bCs/>
          <w:color w:val="FF0000"/>
          <w:sz w:val="24"/>
        </w:rPr>
      </w:pP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6.3</w:t>
      </w:r>
      <w:r>
        <w:rPr>
          <w:rFonts w:ascii="Times New Roman" w:hAnsi="Times New Roman" w:eastAsia="楷体_GB2312"/>
          <w:b/>
          <w:bCs/>
          <w:sz w:val="28"/>
        </w:rPr>
        <w:t>丰产性</w:t>
      </w:r>
    </w:p>
    <w:p>
      <w:pPr>
        <w:ind w:firstLine="480" w:firstLineChars="200"/>
        <w:rPr>
          <w:rFonts w:hint="eastAsia" w:eastAsia="宋体"/>
          <w:sz w:val="24"/>
          <w:lang w:eastAsia="zh-CN"/>
        </w:rPr>
      </w:pPr>
      <w:r>
        <w:rPr>
          <w:sz w:val="24"/>
        </w:rPr>
        <w:t>对照</w:t>
      </w:r>
      <w:r>
        <w:rPr>
          <w:rFonts w:hint="eastAsia"/>
          <w:sz w:val="24"/>
        </w:rPr>
        <w:t>先玉335</w:t>
      </w:r>
      <w:r>
        <w:rPr>
          <w:sz w:val="24"/>
        </w:rPr>
        <w:t>平均亩产</w:t>
      </w:r>
      <w:r>
        <w:rPr>
          <w:rFonts w:hint="eastAsia"/>
          <w:bCs/>
          <w:sz w:val="24"/>
          <w:lang w:val="en-US" w:eastAsia="zh-CN"/>
        </w:rPr>
        <w:t>1066.70</w:t>
      </w:r>
      <w:r>
        <w:rPr>
          <w:bCs/>
          <w:sz w:val="24"/>
        </w:rPr>
        <w:t>kg，</w:t>
      </w:r>
      <w:r>
        <w:rPr>
          <w:rFonts w:hint="eastAsia"/>
          <w:sz w:val="24"/>
        </w:rPr>
        <w:t>排第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位</w:t>
      </w:r>
      <w:r>
        <w:rPr>
          <w:sz w:val="24"/>
        </w:rPr>
        <w:t>，</w:t>
      </w:r>
      <w:r>
        <w:rPr>
          <w:rFonts w:hint="eastAsia"/>
          <w:sz w:val="24"/>
          <w:lang w:val="en-US" w:eastAsia="zh-CN"/>
        </w:rPr>
        <w:t>JN5228</w:t>
      </w:r>
      <w:r>
        <w:rPr>
          <w:rFonts w:hint="eastAsia"/>
          <w:sz w:val="24"/>
        </w:rPr>
        <w:t>较对照先玉335增产</w:t>
      </w:r>
      <w:r>
        <w:rPr>
          <w:rFonts w:hint="eastAsia"/>
          <w:sz w:val="24"/>
          <w:lang w:val="en-US" w:eastAsia="zh-CN"/>
        </w:rPr>
        <w:t>6.4</w:t>
      </w:r>
      <w:r>
        <w:rPr>
          <w:rFonts w:hint="eastAsia"/>
          <w:sz w:val="24"/>
        </w:rPr>
        <w:t>%。</w:t>
      </w:r>
      <w:r>
        <w:rPr>
          <w:rFonts w:hint="eastAsia"/>
          <w:sz w:val="24"/>
          <w:lang w:eastAsia="zh-CN"/>
        </w:rPr>
        <w:t>其他品种产量全部低于对照。</w:t>
      </w:r>
    </w:p>
    <w:p>
      <w:pPr>
        <w:ind w:firstLine="480" w:firstLineChars="200"/>
        <w:rPr>
          <w:sz w:val="24"/>
        </w:rPr>
      </w:pP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6.4 </w:t>
      </w:r>
      <w:r>
        <w:rPr>
          <w:rFonts w:ascii="Times New Roman" w:hAnsi="Times New Roman" w:eastAsia="楷体_GB2312"/>
          <w:b/>
          <w:bCs/>
          <w:sz w:val="28"/>
        </w:rPr>
        <w:t>稳产性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  <w:lang w:val="en-US" w:eastAsia="zh-CN"/>
        </w:rPr>
        <w:t>JN5228产量较对照先玉335：7点6增1减，</w:t>
      </w:r>
      <w:r>
        <w:rPr>
          <w:sz w:val="24"/>
        </w:rPr>
        <w:t>其他品种增产点次未达到</w:t>
      </w:r>
      <w:r>
        <w:rPr>
          <w:rFonts w:hint="eastAsia"/>
          <w:sz w:val="24"/>
        </w:rPr>
        <w:t>5</w:t>
      </w:r>
      <w:r>
        <w:rPr>
          <w:sz w:val="24"/>
        </w:rPr>
        <w:t>点。</w:t>
      </w: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 w:eastAsia="楷体_GB2312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6.5</w:t>
      </w:r>
      <w:r>
        <w:rPr>
          <w:rFonts w:ascii="Times New Roman" w:hAnsi="Times New Roman" w:eastAsia="楷体_GB2312"/>
          <w:b/>
          <w:bCs/>
          <w:sz w:val="28"/>
        </w:rPr>
        <w:t>适应性</w:t>
      </w:r>
    </w:p>
    <w:p>
      <w:pPr>
        <w:pStyle w:val="3"/>
        <w:spacing w:before="50" w:after="50"/>
        <w:ind w:firstLine="0" w:firstLineChars="0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6.5.1生育期</w:t>
      </w:r>
    </w:p>
    <w:p>
      <w:pPr>
        <w:pStyle w:val="3"/>
        <w:tabs>
          <w:tab w:val="left" w:pos="8820"/>
        </w:tabs>
        <w:spacing w:before="50" w:after="50"/>
        <w:ind w:firstLine="470" w:firstLineChars="19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对照</w:t>
      </w:r>
      <w:r>
        <w:rPr>
          <w:rFonts w:hint="eastAsia" w:ascii="Times New Roman" w:hAnsi="Times New Roman"/>
          <w:sz w:val="24"/>
        </w:rPr>
        <w:t>先玉335</w:t>
      </w:r>
      <w:r>
        <w:rPr>
          <w:rFonts w:ascii="Times New Roman" w:hAnsi="Times New Roman"/>
          <w:sz w:val="24"/>
        </w:rPr>
        <w:t>平均生育期</w:t>
      </w:r>
      <w:r>
        <w:rPr>
          <w:rFonts w:hint="eastAsia" w:ascii="Times New Roman" w:hAnsi="Times New Roman"/>
          <w:sz w:val="24"/>
        </w:rPr>
        <w:t>均为13</w:t>
      </w:r>
      <w:r>
        <w:rPr>
          <w:rFonts w:hint="eastAsia" w:ascii="Times New Roman" w:hAnsi="Times New Roman"/>
          <w:sz w:val="24"/>
          <w:lang w:val="en-US" w:eastAsia="zh-CN"/>
        </w:rPr>
        <w:t>1</w:t>
      </w:r>
      <w:r>
        <w:rPr>
          <w:rFonts w:hint="eastAsia"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  <w:lang w:val="en-US" w:eastAsia="zh-CN"/>
        </w:rPr>
        <w:t>6</w:t>
      </w:r>
      <w:r>
        <w:rPr>
          <w:rFonts w:ascii="Times New Roman" w:hAnsi="Times New Roman"/>
          <w:sz w:val="24"/>
        </w:rPr>
        <w:t>天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参试品种生育期在1</w:t>
      </w:r>
      <w:r>
        <w:rPr>
          <w:rFonts w:hint="eastAsia" w:ascii="Times New Roman" w:hAnsi="Times New Roman"/>
          <w:sz w:val="24"/>
          <w:lang w:val="en-US" w:eastAsia="zh-CN"/>
        </w:rPr>
        <w:t>29.7</w:t>
      </w:r>
      <w:r>
        <w:rPr>
          <w:rFonts w:ascii="Times New Roman" w:hAnsi="Times New Roman"/>
          <w:sz w:val="24"/>
        </w:rPr>
        <w:t>～1</w:t>
      </w:r>
      <w:r>
        <w:rPr>
          <w:rFonts w:hint="eastAsia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  <w:lang w:val="en-US" w:eastAsia="zh-CN"/>
        </w:rPr>
        <w:t>1</w:t>
      </w:r>
      <w:r>
        <w:rPr>
          <w:rFonts w:hint="eastAsia" w:ascii="Times New Roman" w:hAnsi="Times New Roman"/>
          <w:sz w:val="24"/>
        </w:rPr>
        <w:t>.</w:t>
      </w:r>
      <w:r>
        <w:rPr>
          <w:rFonts w:hint="eastAsia" w:ascii="Times New Roman" w:hAnsi="Times New Roman"/>
          <w:sz w:val="24"/>
          <w:lang w:val="en-US" w:eastAsia="zh-CN"/>
        </w:rPr>
        <w:t>6</w:t>
      </w:r>
      <w:r>
        <w:rPr>
          <w:rFonts w:ascii="Times New Roman" w:hAnsi="Times New Roman"/>
          <w:sz w:val="24"/>
        </w:rPr>
        <w:t>天</w:t>
      </w:r>
      <w:r>
        <w:rPr>
          <w:rFonts w:hint="eastAsia"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  <w:lang w:eastAsia="zh-CN"/>
        </w:rPr>
        <w:t>所有品种生育期</w:t>
      </w:r>
      <w:r>
        <w:rPr>
          <w:rFonts w:hint="eastAsia" w:ascii="Times New Roman" w:hAnsi="Times New Roman"/>
          <w:kern w:val="0"/>
          <w:sz w:val="24"/>
          <w:lang w:eastAsia="zh-CN"/>
        </w:rPr>
        <w:t>都低于对</w:t>
      </w:r>
      <w:r>
        <w:rPr>
          <w:rFonts w:ascii="Times New Roman" w:hAnsi="Times New Roman"/>
          <w:sz w:val="24"/>
        </w:rPr>
        <w:t>照。</w:t>
      </w:r>
    </w:p>
    <w:p>
      <w:pPr>
        <w:pStyle w:val="3"/>
        <w:spacing w:before="50" w:after="50"/>
        <w:ind w:firstLine="0" w:firstLineChars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6.5.2收获时籽粒含水率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对照</w:t>
      </w:r>
      <w:r>
        <w:rPr>
          <w:rFonts w:hint="eastAsia"/>
          <w:sz w:val="24"/>
        </w:rPr>
        <w:t>先玉335</w:t>
      </w:r>
      <w:r>
        <w:rPr>
          <w:rFonts w:ascii="Times New Roman" w:hAnsi="Times New Roman"/>
          <w:sz w:val="24"/>
        </w:rPr>
        <w:t>平均收获时籽粒含水率均为</w:t>
      </w:r>
      <w:r>
        <w:rPr>
          <w:rFonts w:hint="eastAsia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val="en-US" w:eastAsia="zh-CN"/>
        </w:rPr>
        <w:t>9.2</w:t>
      </w:r>
      <w:r>
        <w:rPr>
          <w:rFonts w:ascii="Times New Roman" w:hAnsi="Times New Roman"/>
          <w:sz w:val="24"/>
        </w:rPr>
        <w:t>%，参试品种</w:t>
      </w:r>
      <w:r>
        <w:rPr>
          <w:rFonts w:hint="eastAsia" w:ascii="Times New Roman" w:hAnsi="Times New Roman"/>
          <w:sz w:val="24"/>
        </w:rPr>
        <w:t>为2</w:t>
      </w:r>
      <w:r>
        <w:rPr>
          <w:rFonts w:hint="eastAsia" w:ascii="Times New Roman" w:hAnsi="Times New Roman"/>
          <w:sz w:val="24"/>
          <w:lang w:val="en-US" w:eastAsia="zh-CN"/>
        </w:rPr>
        <w:t>7.7</w:t>
      </w:r>
      <w:r>
        <w:rPr>
          <w:rFonts w:hint="eastAsia" w:ascii="Times New Roman" w:hAnsi="Times New Roman"/>
          <w:sz w:val="24"/>
        </w:rPr>
        <w:t>%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29.2</w:t>
      </w:r>
      <w:r>
        <w:rPr>
          <w:rFonts w:hint="eastAsia" w:ascii="Times New Roman" w:hAnsi="Times New Roman"/>
          <w:sz w:val="24"/>
        </w:rPr>
        <w:t>%，</w:t>
      </w:r>
      <w:r>
        <w:rPr>
          <w:rFonts w:hint="eastAsia" w:ascii="Times New Roman" w:hAnsi="Times New Roman"/>
          <w:sz w:val="24"/>
          <w:lang w:eastAsia="zh-CN"/>
        </w:rPr>
        <w:t>所有品种含水率都低于对照</w:t>
      </w:r>
      <w:r>
        <w:rPr>
          <w:rFonts w:ascii="Times New Roman" w:hAnsi="Times New Roman"/>
          <w:sz w:val="24"/>
        </w:rPr>
        <w:t>。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</w:p>
    <w:p>
      <w:pPr>
        <w:rPr>
          <w:sz w:val="24"/>
        </w:rPr>
      </w:pPr>
      <w:r>
        <w:rPr>
          <w:b/>
          <w:sz w:val="24"/>
        </w:rPr>
        <w:t>6.5.3收获期籽粒破损率</w:t>
      </w:r>
      <w:r>
        <w:rPr>
          <w:sz w:val="24"/>
        </w:rPr>
        <w:t>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参试品种收获期籽粒破损率均在</w:t>
      </w:r>
      <w:r>
        <w:rPr>
          <w:rFonts w:hint="eastAsia"/>
          <w:sz w:val="24"/>
        </w:rPr>
        <w:t>0.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%以下。</w:t>
      </w:r>
    </w:p>
    <w:p>
      <w:pPr>
        <w:rPr>
          <w:sz w:val="24"/>
        </w:rPr>
      </w:pPr>
      <w:r>
        <w:rPr>
          <w:b/>
          <w:bCs/>
          <w:sz w:val="28"/>
        </w:rPr>
        <w:t>6.6</w:t>
      </w:r>
      <w:r>
        <w:rPr>
          <w:rFonts w:eastAsia="楷体_GB2312"/>
          <w:b/>
          <w:bCs/>
          <w:sz w:val="28"/>
        </w:rPr>
        <w:t>综合抗性：</w:t>
      </w:r>
    </w:p>
    <w:p>
      <w:pPr>
        <w:widowControl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所有</w:t>
      </w:r>
      <w:r>
        <w:rPr>
          <w:sz w:val="24"/>
        </w:rPr>
        <w:t>参试品种</w:t>
      </w:r>
      <w:r>
        <w:rPr>
          <w:kern w:val="0"/>
          <w:sz w:val="24"/>
        </w:rPr>
        <w:t>成熟期与收获期倒伏</w:t>
      </w:r>
      <w:r>
        <w:rPr>
          <w:sz w:val="24"/>
        </w:rPr>
        <w:t>倒折率和均在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.0</w:t>
      </w:r>
      <w:r>
        <w:rPr>
          <w:sz w:val="24"/>
        </w:rPr>
        <w:t>%以下，病虫害发生较轻，田间综合抗性较好。</w:t>
      </w:r>
    </w:p>
    <w:p>
      <w:pPr>
        <w:pStyle w:val="3"/>
        <w:tabs>
          <w:tab w:val="left" w:pos="8820"/>
        </w:tabs>
        <w:spacing w:before="50" w:after="50"/>
        <w:ind w:firstLine="0" w:firstLineChars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6.</w:t>
      </w:r>
      <w:r>
        <w:rPr>
          <w:rFonts w:hint="eastAsia" w:ascii="Times New Roman" w:hAnsi="Times New Roman"/>
          <w:b/>
          <w:bCs/>
          <w:sz w:val="28"/>
        </w:rPr>
        <w:t>7</w:t>
      </w:r>
      <w:r>
        <w:rPr>
          <w:rFonts w:ascii="Times New Roman" w:hAnsi="Times New Roman" w:eastAsia="楷体_GB2312"/>
          <w:b/>
          <w:bCs/>
          <w:sz w:val="28"/>
        </w:rPr>
        <w:t>主要性状</w:t>
      </w:r>
    </w:p>
    <w:p>
      <w:pPr>
        <w:pStyle w:val="3"/>
        <w:spacing w:before="50" w:after="50"/>
        <w:ind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参试</w:t>
      </w:r>
      <w:r>
        <w:rPr>
          <w:rFonts w:ascii="Times New Roman" w:hAnsi="Times New Roman"/>
          <w:kern w:val="0"/>
          <w:sz w:val="24"/>
        </w:rPr>
        <w:t>品种平均</w:t>
      </w:r>
      <w:r>
        <w:rPr>
          <w:rFonts w:ascii="Times New Roman" w:hAnsi="Times New Roman"/>
          <w:sz w:val="24"/>
        </w:rPr>
        <w:t>穗长在</w:t>
      </w:r>
      <w:r>
        <w:rPr>
          <w:rFonts w:hint="eastAsia" w:ascii="Times New Roman" w:hAnsi="Times New Roman"/>
          <w:sz w:val="24"/>
          <w:lang w:val="en-US" w:eastAsia="zh-CN"/>
        </w:rPr>
        <w:t>17.2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19.6</w:t>
      </w:r>
      <w:r>
        <w:rPr>
          <w:rFonts w:ascii="Times New Roman" w:hAnsi="Times New Roman"/>
          <w:sz w:val="24"/>
        </w:rPr>
        <w:t>cm，穗粗</w:t>
      </w:r>
      <w:r>
        <w:rPr>
          <w:rFonts w:hint="eastAsia" w:ascii="Times New Roman" w:hAnsi="Times New Roman"/>
          <w:sz w:val="24"/>
          <w:lang w:val="en-US" w:eastAsia="zh-CN"/>
        </w:rPr>
        <w:t>5.0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5.2</w:t>
      </w:r>
      <w:r>
        <w:rPr>
          <w:rFonts w:ascii="Times New Roman" w:hAnsi="Times New Roman"/>
          <w:sz w:val="24"/>
        </w:rPr>
        <w:t>cm，百粒重</w:t>
      </w:r>
      <w:r>
        <w:rPr>
          <w:rFonts w:hint="eastAsia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  <w:lang w:val="en-US" w:eastAsia="zh-CN"/>
        </w:rPr>
        <w:t>5.0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36.8</w:t>
      </w:r>
      <w:r>
        <w:rPr>
          <w:rFonts w:ascii="Times New Roman" w:hAnsi="Times New Roman"/>
          <w:sz w:val="24"/>
        </w:rPr>
        <w:t>g，出籽率</w:t>
      </w:r>
      <w:r>
        <w:rPr>
          <w:rFonts w:hint="eastAsia" w:ascii="Times New Roman" w:hAnsi="Times New Roman"/>
          <w:sz w:val="24"/>
          <w:lang w:val="en-US" w:eastAsia="zh-CN"/>
        </w:rPr>
        <w:t>81.4</w:t>
      </w:r>
      <w:r>
        <w:rPr>
          <w:rFonts w:ascii="Times New Roman" w:hAnsi="Times New Roman"/>
          <w:sz w:val="24"/>
        </w:rPr>
        <w:t>～</w:t>
      </w:r>
      <w:r>
        <w:rPr>
          <w:rFonts w:hint="eastAsia" w:ascii="Times New Roman" w:hAnsi="Times New Roman"/>
          <w:sz w:val="24"/>
          <w:lang w:val="en-US" w:eastAsia="zh-CN"/>
        </w:rPr>
        <w:t>84.2</w:t>
      </w:r>
      <w:r>
        <w:rPr>
          <w:rFonts w:ascii="Times New Roman" w:hAnsi="Times New Roman"/>
          <w:sz w:val="24"/>
        </w:rPr>
        <w:t>%。</w:t>
      </w:r>
      <w:r>
        <w:rPr>
          <w:rFonts w:hint="eastAsia" w:ascii="Times New Roman" w:hAnsi="Times New Roman"/>
          <w:sz w:val="24"/>
        </w:rPr>
        <w:t>株型多为半紧凑型，</w:t>
      </w:r>
      <w:r>
        <w:rPr>
          <w:sz w:val="24"/>
        </w:rPr>
        <w:t>整齐度好。</w:t>
      </w:r>
    </w:p>
    <w:p>
      <w:pPr>
        <w:tabs>
          <w:tab w:val="left" w:pos="8820"/>
        </w:tabs>
        <w:outlineLvl w:val="0"/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t>7 品种评述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JN5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22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8: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1134.13kg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，比对照先玉335增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产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6.4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131.6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0天；收获期籽粒含水率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23.98%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，比对照先玉335低0.47个百分点；各试点平均，成熟期倒伏率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0.17%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，收获期倒伏折率之和1.0%，籽粒破损率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0.2%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-3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0.1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85.6%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1.4%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1.6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%,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穗长17.2cm,穗粗5.1cm，突尖1.1cm，穗行数17.6，行粒数33.8，百粒重35.0g，粒型马齿，粒色黄，穗轴红色，株型半紧凑。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利禾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2236: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1064.67kg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，比对照先玉335减产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0.1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130.7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0.9天；收获期籽粒含水率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26.5%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，比对照先玉335高2.0个百分点；各试点平均，成熟期倒伏率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0.5%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0.4%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，收获期倒伏折率之和1.3%；大斑病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-3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0.4%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84.3%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1.7%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0.4%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，穗长19.6cm,穗粗5.2cm，突尖1.6cm，穗行数16.2，行粒数35.5，百粒重36.8g，粒型半马齿，粒色黄，穗轴红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利合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2266: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1056.78kg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 减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产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0.8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130.6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24.12%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，比对照先玉335低0.3个百分点；各试点平均，成熟期倒伏率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8.5%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9.0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%；大斑病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-3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0.6%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eastAsia" w:cs="Times New Roman"/>
          <w:color w:val="auto"/>
          <w:kern w:val="2"/>
          <w:sz w:val="24"/>
          <w:szCs w:val="24"/>
          <w:lang w:val="en-US" w:eastAsia="zh-CN" w:bidi="ar"/>
        </w:rPr>
        <w:t>0.1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0.</w:t>
      </w:r>
      <w:r>
        <w:rPr>
          <w:rFonts w:hint="eastAsia" w:cs="Times New Roman"/>
          <w:color w:val="auto"/>
          <w:kern w:val="2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84.2%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1.5%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1.6%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，穗长18.6cm,穗粗5.0cm，突尖1.3cm，穗行数15.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，行粒数35.4，百粒重35.9g，粒型半马齿，粒色黄，穗轴红，株型半紧凑。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0" w:afterAutospacing="0"/>
        <w:ind w:left="0" w:right="0" w:firstLine="480" w:firstLineChars="200"/>
        <w:jc w:val="both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lang w:val="en-US" w:eastAsia="zh-CN" w:bidi="ar"/>
        </w:rPr>
        <w:t>宇科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2302: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点平均亩产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947.21kg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 减产10.7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减；平均生育期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129.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天，比对照先玉335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早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1.9天；收获期籽粒含水率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27.1%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，比对照先玉335高2.6个百分点；各试点平均，成熟期倒伏率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8.7%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、倒折率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0.2%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，收获期倒伏折率之和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9.1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%；大斑病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cs="Times New Roman"/>
          <w:kern w:val="2"/>
          <w:sz w:val="24"/>
          <w:szCs w:val="24"/>
          <w:lang w:val="en-US" w:eastAsia="zh-CN" w:bidi="ar"/>
        </w:rPr>
        <w:t>-5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级，丝黑穗病株率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，茎腐病株率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0.2%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，粒腐率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9.7%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。收获时出籽率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85.9%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，空秆率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1.1%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，双穗率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1.0%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，籽粒破损率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0.3%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，穗长18.9cm,穗粗5.0cm，突尖1.6cm，穗行数15.4，行粒数35.2，百粒重36.9g，粒型半马齿，粒色黄，穗轴红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，株型半紧凑。</w:t>
      </w:r>
    </w:p>
    <w:p>
      <w:pPr>
        <w:rPr>
          <w:rFonts w:hint="default" w:cs="Times New Roman"/>
          <w:kern w:val="2"/>
          <w:sz w:val="24"/>
          <w:szCs w:val="24"/>
          <w:lang w:val="en-US" w:eastAsia="zh-CN" w:bidi="ar"/>
        </w:rPr>
        <w:sectPr>
          <w:footerReference r:id="rId5" w:type="default"/>
          <w:pgSz w:w="11906" w:h="16838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20" w:lineRule="exact"/>
        <w:ind w:firstLine="4096" w:firstLineChars="1700"/>
        <w:jc w:val="both"/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4096" w:firstLineChars="1700"/>
        <w:jc w:val="both"/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4096" w:firstLineChars="1700"/>
        <w:jc w:val="both"/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20" w:lineRule="exact"/>
        <w:ind w:firstLine="4096" w:firstLineChars="1700"/>
        <w:jc w:val="both"/>
        <w:rPr>
          <w:rFonts w:hint="eastAsia" w:eastAsia="黑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表5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高密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组玉米</w:t>
      </w: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品种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第二年区域试验主要性状汇总表</w:t>
      </w:r>
      <w:r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（一）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51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95"/>
        <w:gridCol w:w="705"/>
        <w:gridCol w:w="361"/>
        <w:gridCol w:w="434"/>
        <w:gridCol w:w="795"/>
        <w:gridCol w:w="687"/>
        <w:gridCol w:w="849"/>
        <w:gridCol w:w="705"/>
        <w:gridCol w:w="723"/>
        <w:gridCol w:w="597"/>
        <w:gridCol w:w="596"/>
        <w:gridCol w:w="614"/>
        <w:gridCol w:w="615"/>
        <w:gridCol w:w="650"/>
        <w:gridCol w:w="669"/>
        <w:gridCol w:w="741"/>
        <w:gridCol w:w="741"/>
        <w:gridCol w:w="760"/>
        <w:gridCol w:w="813"/>
        <w:gridCol w:w="707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（kg）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比ck增减</w:t>
            </w:r>
          </w:p>
        </w:tc>
        <w:tc>
          <w:tcPr>
            <w:tcW w:w="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位次</w:t>
            </w:r>
          </w:p>
        </w:tc>
        <w:tc>
          <w:tcPr>
            <w:tcW w:w="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增点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生育期(天)</w:t>
            </w:r>
          </w:p>
        </w:tc>
        <w:tc>
          <w:tcPr>
            <w:tcW w:w="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比CK  (±天)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脱粒水分(%)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水分比CK(±)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成熟期倒伏率(%)</w:t>
            </w:r>
          </w:p>
        </w:tc>
        <w:tc>
          <w:tcPr>
            <w:tcW w:w="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成熟期倒折率(%)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收获期倒伏倒折和(%)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大斑病(级)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丝黑穗病(%)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茎腐病(%)</w:t>
            </w: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玉米螟（级）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穗腐率(%)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粒腐率(%)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出籽率</w:t>
            </w:r>
            <w:r>
              <w:rPr>
                <w:rStyle w:val="14"/>
                <w:rFonts w:eastAsia="宋体"/>
                <w:b w:val="0"/>
                <w:bCs w:val="0"/>
                <w:sz w:val="18"/>
                <w:szCs w:val="18"/>
                <w:lang w:val="en-US" w:eastAsia="zh-CN" w:bidi="ar"/>
              </w:rPr>
              <w:t>(%)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空秆率</w:t>
            </w:r>
            <w:r>
              <w:rPr>
                <w:rStyle w:val="14"/>
                <w:rFonts w:eastAsia="宋体"/>
                <w:b w:val="0"/>
                <w:bCs w:val="0"/>
                <w:sz w:val="18"/>
                <w:szCs w:val="18"/>
                <w:lang w:val="en-US" w:eastAsia="zh-CN" w:bidi="ar"/>
              </w:rPr>
              <w:t>(%)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双穗率</w:t>
            </w:r>
            <w:r>
              <w:rPr>
                <w:rStyle w:val="14"/>
                <w:rFonts w:eastAsia="宋体"/>
                <w:b w:val="0"/>
                <w:bCs w:val="0"/>
                <w:sz w:val="18"/>
                <w:szCs w:val="18"/>
                <w:lang w:val="en-US" w:eastAsia="zh-CN" w:bidi="ar"/>
              </w:rPr>
              <w:t>(%)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破损率</w:t>
            </w:r>
            <w:r>
              <w:rPr>
                <w:rStyle w:val="14"/>
                <w:rFonts w:eastAsia="宋体"/>
                <w:b w:val="0"/>
                <w:bCs w:val="0"/>
                <w:sz w:val="18"/>
                <w:szCs w:val="18"/>
                <w:lang w:val="en-US" w:eastAsia="zh-CN" w:bidi="ar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JN5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1134.1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 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131.6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-0.5 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利禾2236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1064.7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-0.9 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26.5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利合2266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1056.8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-0.8 </w:t>
            </w: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130.6 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-1.0 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24.1 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-0.3 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宇科2302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947.2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-10.7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129.7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-1.9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27.1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Ck-先玉335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1066.7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131.6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1-7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</w:tbl>
    <w:p/>
    <w:p/>
    <w:p/>
    <w:p/>
    <w:p/>
    <w:p/>
    <w:p/>
    <w:p/>
    <w:p/>
    <w:p/>
    <w:p/>
    <w:p/>
    <w:p/>
    <w:p>
      <w:pPr>
        <w:spacing w:line="320" w:lineRule="exact"/>
        <w:ind w:firstLine="4096" w:firstLineChars="1700"/>
        <w:jc w:val="both"/>
        <w:rPr>
          <w:rFonts w:hint="eastAsia" w:eastAsia="黑体"/>
          <w:b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6   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黑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高密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组玉米</w:t>
      </w:r>
      <w:r>
        <w:rPr>
          <w:rFonts w:hint="eastAsia"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品种</w:t>
      </w:r>
      <w:r>
        <w:rPr>
          <w:rFonts w:eastAsia="黑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第二年区域试验主要性状汇总表</w:t>
      </w:r>
      <w:r>
        <w:rPr>
          <w:rFonts w:hint="eastAsia" w:eastAsia="黑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（二）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tbl>
      <w:tblPr>
        <w:tblStyle w:val="6"/>
        <w:tblW w:w="13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428"/>
        <w:gridCol w:w="1301"/>
        <w:gridCol w:w="1229"/>
        <w:gridCol w:w="1337"/>
        <w:gridCol w:w="1265"/>
        <w:gridCol w:w="1121"/>
        <w:gridCol w:w="1012"/>
        <w:gridCol w:w="1229"/>
        <w:gridCol w:w="1138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穗长</w:t>
            </w:r>
            <w:r>
              <w:rPr>
                <w:rStyle w:val="16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穗粗</w:t>
            </w:r>
            <w:r>
              <w:rPr>
                <w:rStyle w:val="16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秃尖</w:t>
            </w:r>
            <w:r>
              <w:rPr>
                <w:rStyle w:val="16"/>
                <w:rFonts w:eastAsia="宋体"/>
                <w:lang w:val="en-US" w:eastAsia="zh-CN" w:bidi="ar"/>
              </w:rPr>
              <w:t>(cm)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穗行数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行粒数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百粒重</w:t>
            </w:r>
            <w:r>
              <w:rPr>
                <w:rStyle w:val="16"/>
                <w:rFonts w:eastAsia="宋体"/>
                <w:lang w:val="en-US" w:eastAsia="zh-CN" w:bidi="ar"/>
              </w:rPr>
              <w:t>(g)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粒型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粒色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轴色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JN5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 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17.6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33.8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马齿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半紧凑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利禾2236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19.6 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16.2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35.5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36.8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半马齿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半紧凑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利合2266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18.6 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35.4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35.9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半马齿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半紧凑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宇科2302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18.9 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15.4 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35.2 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36.9 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半马齿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半紧凑</w:t>
            </w:r>
          </w:p>
        </w:tc>
      </w:tr>
    </w:tbl>
    <w:p/>
    <w:p/>
    <w:p/>
    <w:p/>
    <w:p/>
    <w:p/>
    <w:p/>
    <w:p/>
    <w:p/>
    <w:p/>
    <w:p/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YzdhMjQzYmU3MGRhNWVlYjZhZjU2ZDI5YjRiYzUifQ=="/>
  </w:docVars>
  <w:rsids>
    <w:rsidRoot w:val="00172A27"/>
    <w:rsid w:val="00020439"/>
    <w:rsid w:val="00024CEF"/>
    <w:rsid w:val="0003470E"/>
    <w:rsid w:val="001824B7"/>
    <w:rsid w:val="002B09DF"/>
    <w:rsid w:val="002B3D14"/>
    <w:rsid w:val="00416834"/>
    <w:rsid w:val="004C0473"/>
    <w:rsid w:val="004D4A77"/>
    <w:rsid w:val="004E0A8D"/>
    <w:rsid w:val="005B583D"/>
    <w:rsid w:val="007E0E03"/>
    <w:rsid w:val="008A48F3"/>
    <w:rsid w:val="008D531F"/>
    <w:rsid w:val="00973D0A"/>
    <w:rsid w:val="00A210FB"/>
    <w:rsid w:val="00A664E8"/>
    <w:rsid w:val="00BC0803"/>
    <w:rsid w:val="00BD1118"/>
    <w:rsid w:val="00CB3F72"/>
    <w:rsid w:val="00D27622"/>
    <w:rsid w:val="00E40B44"/>
    <w:rsid w:val="00EA1B6A"/>
    <w:rsid w:val="03D05C49"/>
    <w:rsid w:val="06C24EF5"/>
    <w:rsid w:val="07DD452D"/>
    <w:rsid w:val="08157A4F"/>
    <w:rsid w:val="08DB5D92"/>
    <w:rsid w:val="0A213E6E"/>
    <w:rsid w:val="0BA6405A"/>
    <w:rsid w:val="0DD25948"/>
    <w:rsid w:val="0EB75233"/>
    <w:rsid w:val="0EFF644E"/>
    <w:rsid w:val="11FC7E31"/>
    <w:rsid w:val="127C4DBC"/>
    <w:rsid w:val="15C30699"/>
    <w:rsid w:val="16BA29C8"/>
    <w:rsid w:val="186C4A97"/>
    <w:rsid w:val="18962DE8"/>
    <w:rsid w:val="18D3630C"/>
    <w:rsid w:val="18ED6A14"/>
    <w:rsid w:val="1A330EDB"/>
    <w:rsid w:val="1BE72717"/>
    <w:rsid w:val="1C9C4677"/>
    <w:rsid w:val="20361444"/>
    <w:rsid w:val="22943FB4"/>
    <w:rsid w:val="22B90D51"/>
    <w:rsid w:val="233C3F71"/>
    <w:rsid w:val="25C446D8"/>
    <w:rsid w:val="282910EA"/>
    <w:rsid w:val="2A217AB6"/>
    <w:rsid w:val="2DD51F5B"/>
    <w:rsid w:val="2DDE3681"/>
    <w:rsid w:val="2EC1468C"/>
    <w:rsid w:val="32FB3683"/>
    <w:rsid w:val="33786FBF"/>
    <w:rsid w:val="348C06A9"/>
    <w:rsid w:val="39CA0864"/>
    <w:rsid w:val="39FD407B"/>
    <w:rsid w:val="3AC74B94"/>
    <w:rsid w:val="3B9D6D86"/>
    <w:rsid w:val="3C8C5D0E"/>
    <w:rsid w:val="407D232D"/>
    <w:rsid w:val="4205007B"/>
    <w:rsid w:val="44511B56"/>
    <w:rsid w:val="45076760"/>
    <w:rsid w:val="458A3CD9"/>
    <w:rsid w:val="45D33593"/>
    <w:rsid w:val="46472A10"/>
    <w:rsid w:val="497D5199"/>
    <w:rsid w:val="4BAB344C"/>
    <w:rsid w:val="4C4C5224"/>
    <w:rsid w:val="4C627CDE"/>
    <w:rsid w:val="4F6F09B6"/>
    <w:rsid w:val="529006B5"/>
    <w:rsid w:val="56DE011E"/>
    <w:rsid w:val="58152BDA"/>
    <w:rsid w:val="593037D7"/>
    <w:rsid w:val="5A323575"/>
    <w:rsid w:val="5B124EBE"/>
    <w:rsid w:val="5BF1103B"/>
    <w:rsid w:val="5C625694"/>
    <w:rsid w:val="60F7218B"/>
    <w:rsid w:val="61F16F3F"/>
    <w:rsid w:val="622825A7"/>
    <w:rsid w:val="633C3DD7"/>
    <w:rsid w:val="634B00DE"/>
    <w:rsid w:val="63B45A4C"/>
    <w:rsid w:val="64902870"/>
    <w:rsid w:val="649548BC"/>
    <w:rsid w:val="64F7696A"/>
    <w:rsid w:val="66D532F7"/>
    <w:rsid w:val="676E7218"/>
    <w:rsid w:val="683472D7"/>
    <w:rsid w:val="68E32614"/>
    <w:rsid w:val="6A227C35"/>
    <w:rsid w:val="6B5D6E52"/>
    <w:rsid w:val="6BAC73F5"/>
    <w:rsid w:val="73D90E5C"/>
    <w:rsid w:val="76AA5078"/>
    <w:rsid w:val="77931818"/>
    <w:rsid w:val="78347542"/>
    <w:rsid w:val="788974D9"/>
    <w:rsid w:val="79020895"/>
    <w:rsid w:val="7AD037C6"/>
    <w:rsid w:val="7F110C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b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napToGrid w:val="0"/>
      <w:ind w:firstLine="640" w:firstLineChars="200"/>
    </w:pPr>
    <w:rPr>
      <w:rFonts w:ascii="宋体" w:hAnsi="华文中宋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Char2 Char Char Char Char Char Char"/>
    <w:basedOn w:val="2"/>
    <w:autoRedefine/>
    <w:qFormat/>
    <w:uiPriority w:val="0"/>
    <w:pPr>
      <w:keepLines/>
      <w:snapToGrid w:val="0"/>
      <w:spacing w:before="240" w:after="240" w:line="348" w:lineRule="auto"/>
      <w:jc w:val="both"/>
    </w:pPr>
    <w:rPr>
      <w:rFonts w:ascii="Tahoma" w:hAnsi="Tahoma"/>
      <w:kern w:val="44"/>
      <w:sz w:val="24"/>
    </w:rPr>
  </w:style>
  <w:style w:type="character" w:customStyle="1" w:styleId="11">
    <w:name w:val="font2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14">
    <w:name w:val="font5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5">
    <w:name w:val="font6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6">
    <w:name w:val="font4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7673</Words>
  <Characters>12184</Characters>
  <Lines>1</Lines>
  <Paragraphs>1</Paragraphs>
  <TotalTime>13</TotalTime>
  <ScaleCrop>false</ScaleCrop>
  <LinksUpToDate>false</LinksUpToDate>
  <CharactersWithSpaces>13098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2021-12-23T14:44:00Z</dcterms:created>
  <dc:creator>lwx</dc:creator>
  <cp:lastModifiedBy>Xin Li</cp:lastModifiedBy>
  <cp:lastPrinted>2021-12-24T06:57:00Z</cp:lastPrinted>
  <dcterms:modified xsi:type="dcterms:W3CDTF">2024-01-20T04:38:49Z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DBBD0D00B2B54CF88E637E31CAAA12EB_13</vt:lpwstr>
  </property>
</Properties>
</file>