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华文中宋" w:hAnsi="华文中宋" w:eastAsia="华文中宋"/>
          <w:b/>
          <w:sz w:val="36"/>
          <w:szCs w:val="36"/>
        </w:rPr>
      </w:pPr>
      <w:bookmarkStart w:id="0" w:name="_GoBack"/>
      <w:r>
        <w:rPr>
          <w:rFonts w:hint="eastAsia" w:ascii="华文中宋" w:hAnsi="华文中宋" w:eastAsia="华文中宋"/>
          <w:b/>
          <w:sz w:val="36"/>
          <w:szCs w:val="36"/>
        </w:rPr>
        <w:t>非主要农作物品种登记办法</w:t>
      </w:r>
      <w:bookmarkEnd w:id="0"/>
    </w:p>
    <w:p>
      <w:pPr>
        <w:pStyle w:val="2"/>
        <w:spacing w:line="360" w:lineRule="auto"/>
        <w:jc w:val="center"/>
        <w:rPr>
          <w:rFonts w:hint="eastAsia" w:ascii="仿宋_GB2312" w:hAnsi="宋体" w:eastAsia="仿宋_GB2312"/>
          <w:sz w:val="32"/>
          <w:szCs w:val="32"/>
        </w:rPr>
      </w:pPr>
    </w:p>
    <w:p>
      <w:pPr>
        <w:pStyle w:val="2"/>
        <w:spacing w:line="360" w:lineRule="auto"/>
        <w:jc w:val="center"/>
        <w:rPr>
          <w:rFonts w:ascii="黑体" w:hAnsi="宋体" w:eastAsia="黑体"/>
          <w:sz w:val="32"/>
          <w:szCs w:val="32"/>
        </w:rPr>
      </w:pPr>
      <w:r>
        <w:rPr>
          <w:rFonts w:hint="eastAsia" w:ascii="黑体" w:hAnsi="宋体" w:eastAsia="黑体"/>
          <w:sz w:val="32"/>
          <w:szCs w:val="32"/>
        </w:rPr>
        <w:t>第一章 总则</w:t>
      </w:r>
    </w:p>
    <w:p>
      <w:pPr>
        <w:pStyle w:val="2"/>
        <w:spacing w:line="360" w:lineRule="auto"/>
        <w:jc w:val="both"/>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宋体" w:eastAsia="黑体"/>
          <w:sz w:val="32"/>
          <w:szCs w:val="32"/>
        </w:rPr>
        <w:t>第一条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为了规范非主要农作物品种</w:t>
      </w:r>
      <w:r>
        <w:rPr>
          <w:rStyle w:val="6"/>
          <w:rFonts w:hint="eastAsia" w:ascii="仿宋_GB2312" w:eastAsia="仿宋_GB2312"/>
          <w:sz w:val="32"/>
          <w:szCs w:val="32"/>
        </w:rPr>
        <w:t>管理</w:t>
      </w:r>
      <w:r>
        <w:rPr>
          <w:rFonts w:hint="eastAsia" w:ascii="仿宋_GB2312" w:hAnsi="宋体" w:eastAsia="仿宋_GB2312"/>
          <w:sz w:val="32"/>
          <w:szCs w:val="32"/>
        </w:rPr>
        <w:t>，</w:t>
      </w:r>
      <w:r>
        <w:rPr>
          <w:rFonts w:hint="eastAsia" w:ascii="仿宋_GB2312" w:eastAsia="仿宋_GB2312"/>
          <w:sz w:val="32"/>
          <w:szCs w:val="32"/>
        </w:rPr>
        <w:t>科学、公正、及时地登记非主要农作物品种，</w:t>
      </w:r>
      <w:r>
        <w:rPr>
          <w:rFonts w:hint="eastAsia" w:ascii="仿宋_GB2312" w:hAnsi="宋体" w:eastAsia="仿宋_GB2312"/>
          <w:sz w:val="32"/>
          <w:szCs w:val="32"/>
        </w:rPr>
        <w:t>根据《中华人民共和国种子法》(以下简称《种子法》)，制定本办法。</w:t>
      </w:r>
    </w:p>
    <w:p>
      <w:pPr>
        <w:pStyle w:val="2"/>
        <w:spacing w:line="360" w:lineRule="auto"/>
        <w:ind w:firstLine="640" w:firstLineChars="200"/>
        <w:jc w:val="both"/>
        <w:rPr>
          <w:rFonts w:hint="eastAsia" w:ascii="仿宋_GB2312"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在中华人民共和国境内的</w:t>
      </w:r>
      <w:r>
        <w:rPr>
          <w:rFonts w:hint="eastAsia" w:ascii="仿宋_GB2312" w:eastAsia="仿宋_GB2312"/>
          <w:sz w:val="32"/>
          <w:szCs w:val="32"/>
        </w:rPr>
        <w:t>非主要农作物品种登记</w:t>
      </w:r>
      <w:r>
        <w:rPr>
          <w:rFonts w:hint="eastAsia" w:ascii="仿宋_GB2312" w:hAnsi="宋体" w:eastAsia="仿宋_GB2312"/>
          <w:sz w:val="32"/>
          <w:szCs w:val="32"/>
        </w:rPr>
        <w:t>，适用本办法</w:t>
      </w:r>
      <w:r>
        <w:rPr>
          <w:rFonts w:hint="eastAsia" w:ascii="仿宋_GB2312" w:eastAsia="仿宋_GB2312"/>
          <w:sz w:val="32"/>
          <w:szCs w:val="32"/>
        </w:rPr>
        <w:t>。</w:t>
      </w:r>
    </w:p>
    <w:p>
      <w:pPr>
        <w:pStyle w:val="2"/>
        <w:spacing w:line="360" w:lineRule="auto"/>
        <w:ind w:firstLine="640" w:firstLineChars="200"/>
        <w:jc w:val="both"/>
        <w:rPr>
          <w:rFonts w:hint="eastAsia" w:ascii="仿宋_GB2312" w:eastAsia="仿宋_GB2312"/>
          <w:sz w:val="32"/>
          <w:szCs w:val="32"/>
        </w:rPr>
      </w:pPr>
      <w:r>
        <w:rPr>
          <w:rFonts w:hint="eastAsia" w:ascii="仿宋_GB2312" w:hAnsi="宋体" w:eastAsia="仿宋_GB2312"/>
          <w:sz w:val="32"/>
          <w:szCs w:val="32"/>
        </w:rPr>
        <w:t>法律、行政法规和农业部规章对非主要农作物品种管理另有规定的，依照其规定。</w:t>
      </w:r>
    </w:p>
    <w:p>
      <w:pPr>
        <w:pStyle w:val="2"/>
        <w:spacing w:line="360" w:lineRule="auto"/>
        <w:ind w:firstLine="640" w:firstLineChars="200"/>
        <w:jc w:val="both"/>
        <w:rPr>
          <w:rFonts w:ascii="仿宋_GB2312"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本办法所称非主要农作物，是指</w:t>
      </w:r>
      <w:r>
        <w:rPr>
          <w:rFonts w:hint="eastAsia" w:ascii="仿宋_GB2312" w:eastAsia="仿宋_GB2312"/>
          <w:sz w:val="32"/>
          <w:szCs w:val="32"/>
        </w:rPr>
        <w:t>稻、小麦、玉米、棉花、大豆五种主要农作物以外的其他农作物。</w:t>
      </w:r>
    </w:p>
    <w:p>
      <w:pPr>
        <w:pStyle w:val="2"/>
        <w:spacing w:line="360" w:lineRule="auto"/>
        <w:ind w:firstLine="640" w:firstLineChars="200"/>
        <w:jc w:val="both"/>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列入非主要农作物登记目录的品种，在推广前应当登记。</w:t>
      </w:r>
    </w:p>
    <w:p>
      <w:pPr>
        <w:pStyle w:val="2"/>
        <w:spacing w:line="360" w:lineRule="auto"/>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应当登记的农作物品种未经登记的，不得发布广告、推广，不得以登记品种的名义销售。</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xml:space="preserve">  </w:t>
      </w:r>
      <w:r>
        <w:rPr>
          <w:rFonts w:hint="eastAsia" w:ascii="仿宋_GB2312" w:hAnsi="宋体" w:eastAsia="仿宋_GB2312"/>
          <w:sz w:val="32"/>
          <w:szCs w:val="32"/>
        </w:rPr>
        <w:t>农业部主管全国非主要农作物品种登记工作，制定、调整非主要农作物登记目录和品种登记指南，建立全国非主要农作物品种登记信息平台（以下简称品种登记平台），</w:t>
      </w:r>
      <w:r>
        <w:rPr>
          <w:rFonts w:hint="eastAsia" w:ascii="仿宋_GB2312" w:eastAsia="仿宋_GB2312"/>
          <w:sz w:val="32"/>
          <w:szCs w:val="32"/>
        </w:rPr>
        <w:t>具体工作由全国农业技术推广服务中心承担。</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w:t>
      </w:r>
      <w:r>
        <w:rPr>
          <w:rFonts w:hint="eastAsia" w:ascii="仿宋_GB2312" w:eastAsia="仿宋_GB2312"/>
          <w:sz w:val="32"/>
          <w:szCs w:val="32"/>
        </w:rPr>
        <w:t>省级</w:t>
      </w:r>
      <w:r>
        <w:rPr>
          <w:rFonts w:hint="eastAsia" w:ascii="仿宋_GB2312" w:hAnsi="宋体" w:eastAsia="仿宋_GB2312"/>
          <w:sz w:val="32"/>
          <w:szCs w:val="32"/>
        </w:rPr>
        <w:t>人民政府农业主管部门负</w:t>
      </w:r>
      <w:r>
        <w:rPr>
          <w:rFonts w:hint="eastAsia" w:ascii="仿宋_GB2312" w:eastAsia="仿宋_GB2312"/>
          <w:sz w:val="32"/>
          <w:szCs w:val="32"/>
        </w:rPr>
        <w:t>责品种登记的具体实施和监督管理，受理品种登记申请，对</w:t>
      </w:r>
      <w:r>
        <w:rPr>
          <w:rFonts w:hint="eastAsia" w:ascii="仿宋_GB2312" w:hAnsi="宋体" w:eastAsia="仿宋_GB2312"/>
          <w:sz w:val="32"/>
          <w:szCs w:val="32"/>
        </w:rPr>
        <w:t>申请者提交的申请文件进行书面审查。</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省级以上人民政府农业主管部门应当采取有效措施，加强对已登记品种的监督检查，履行好对申请者和品种测试、试验机构的监管责任，保证消费安全和用种安全。</w:t>
      </w:r>
    </w:p>
    <w:p>
      <w:pPr>
        <w:adjustRightInd w:val="0"/>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申请者申请品种登记，应当对申请文件和种子样品的合法性、真实性负责，保证可追溯，接受监督检查。</w:t>
      </w:r>
      <w:r>
        <w:rPr>
          <w:rFonts w:hint="eastAsia" w:ascii="仿宋_GB2312" w:eastAsia="仿宋_GB2312"/>
          <w:sz w:val="32"/>
          <w:szCs w:val="32"/>
        </w:rPr>
        <w:t>给种子使用者和其他种子生产经营者造成损失的，依法承担赔偿责任。</w:t>
      </w:r>
    </w:p>
    <w:p>
      <w:pPr>
        <w:pStyle w:val="2"/>
        <w:spacing w:line="360" w:lineRule="auto"/>
        <w:jc w:val="center"/>
        <w:rPr>
          <w:rFonts w:ascii="黑体" w:hAnsi="宋体" w:eastAsia="黑体"/>
          <w:sz w:val="32"/>
          <w:szCs w:val="32"/>
        </w:rPr>
      </w:pPr>
      <w:r>
        <w:rPr>
          <w:rFonts w:hint="eastAsia" w:ascii="黑体" w:hAnsi="宋体" w:eastAsia="黑体"/>
          <w:sz w:val="32"/>
          <w:szCs w:val="32"/>
        </w:rPr>
        <w:t>第二章  申请、受理与审查</w:t>
      </w:r>
    </w:p>
    <w:p>
      <w:pPr>
        <w:pStyle w:val="2"/>
        <w:spacing w:line="360" w:lineRule="auto"/>
        <w:ind w:firstLine="570"/>
        <w:jc w:val="both"/>
        <w:rPr>
          <w:rFonts w:hint="eastAsia" w:ascii="仿宋_GB2312" w:eastAsia="仿宋_GB2312"/>
          <w:sz w:val="32"/>
          <w:szCs w:val="32"/>
        </w:rPr>
      </w:pPr>
      <w:r>
        <w:rPr>
          <w:rFonts w:hint="eastAsia" w:ascii="黑体" w:hAnsi="宋体" w:eastAsia="黑体"/>
          <w:sz w:val="32"/>
          <w:szCs w:val="32"/>
        </w:rPr>
        <w:t>第八条</w:t>
      </w:r>
      <w:r>
        <w:rPr>
          <w:rFonts w:hint="eastAsia" w:ascii="仿宋_GB2312" w:eastAsia="仿宋_GB2312"/>
          <w:sz w:val="32"/>
          <w:szCs w:val="32"/>
        </w:rPr>
        <w:t xml:space="preserve">  品种登记申请实行属地管理。一个品种只需要在一个省份申请登记。</w:t>
      </w:r>
    </w:p>
    <w:p>
      <w:pPr>
        <w:adjustRightInd w:val="0"/>
        <w:snapToGrid w:val="0"/>
        <w:spacing w:line="360" w:lineRule="auto"/>
        <w:ind w:firstLine="640" w:firstLineChars="200"/>
        <w:rPr>
          <w:rFonts w:hint="eastAsia" w:ascii="仿宋_GB2312" w:eastAsia="仿宋_GB2312"/>
          <w:sz w:val="32"/>
          <w:szCs w:val="32"/>
        </w:rPr>
      </w:pPr>
      <w:r>
        <w:rPr>
          <w:rFonts w:hint="eastAsia" w:ascii="黑体" w:hAnsi="宋体" w:eastAsia="黑体"/>
          <w:sz w:val="32"/>
          <w:szCs w:val="32"/>
        </w:rPr>
        <w:t>第九条</w:t>
      </w:r>
      <w:r>
        <w:rPr>
          <w:rFonts w:hint="eastAsia" w:ascii="仿宋_GB2312" w:hAnsi="宋体" w:eastAsia="仿宋_GB2312"/>
          <w:b/>
          <w:sz w:val="32"/>
          <w:szCs w:val="32"/>
        </w:rPr>
        <w:t xml:space="preserve">  </w:t>
      </w:r>
      <w:r>
        <w:rPr>
          <w:rFonts w:ascii="仿宋_GB2312" w:eastAsia="仿宋_GB2312"/>
          <w:sz w:val="32"/>
          <w:szCs w:val="32"/>
        </w:rPr>
        <w:t>两个以上申请</w:t>
      </w:r>
      <w:r>
        <w:rPr>
          <w:rFonts w:hint="eastAsia" w:ascii="仿宋_GB2312" w:eastAsia="仿宋_GB2312"/>
          <w:sz w:val="32"/>
          <w:szCs w:val="32"/>
        </w:rPr>
        <w:t>者</w:t>
      </w:r>
      <w:r>
        <w:rPr>
          <w:rFonts w:ascii="仿宋_GB2312" w:eastAsia="仿宋_GB2312"/>
          <w:sz w:val="32"/>
          <w:szCs w:val="32"/>
        </w:rPr>
        <w:t>分别</w:t>
      </w:r>
      <w:r>
        <w:rPr>
          <w:rFonts w:hint="eastAsia" w:ascii="仿宋_GB2312" w:eastAsia="仿宋_GB2312"/>
          <w:sz w:val="32"/>
          <w:szCs w:val="32"/>
        </w:rPr>
        <w:t>就同</w:t>
      </w:r>
      <w:r>
        <w:rPr>
          <w:rFonts w:ascii="仿宋_GB2312" w:eastAsia="仿宋_GB2312"/>
          <w:sz w:val="32"/>
          <w:szCs w:val="32"/>
        </w:rPr>
        <w:t>一个品种</w:t>
      </w:r>
      <w:r>
        <w:rPr>
          <w:rFonts w:hint="eastAsia" w:ascii="仿宋_GB2312" w:eastAsia="仿宋_GB2312"/>
          <w:sz w:val="32"/>
          <w:szCs w:val="32"/>
        </w:rPr>
        <w:t>申请品种登记</w:t>
      </w:r>
      <w:r>
        <w:rPr>
          <w:rFonts w:ascii="仿宋_GB2312" w:eastAsia="仿宋_GB2312"/>
          <w:sz w:val="32"/>
          <w:szCs w:val="32"/>
        </w:rPr>
        <w:t>的，</w:t>
      </w:r>
      <w:r>
        <w:rPr>
          <w:rFonts w:hint="eastAsia" w:ascii="仿宋_GB2312" w:eastAsia="仿宋_GB2312"/>
          <w:sz w:val="32"/>
          <w:szCs w:val="32"/>
        </w:rPr>
        <w:t>优先受理最先提出的申请；同时申请的，优先受理该品种育种者的申请。</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b/>
          <w:sz w:val="32"/>
          <w:szCs w:val="32"/>
        </w:rPr>
        <w:t xml:space="preserve">  </w:t>
      </w:r>
      <w:r>
        <w:rPr>
          <w:rFonts w:hint="eastAsia" w:ascii="仿宋_GB2312" w:hAnsi="宋体" w:eastAsia="仿宋_GB2312"/>
          <w:sz w:val="32"/>
          <w:szCs w:val="32"/>
        </w:rPr>
        <w:t>申请者应当在品种登记平台上实名注册，可以通过品种登记平台提出登记申请，也可以向住所地的省级人民政府农业主管部门提出书面登记申请。</w:t>
      </w:r>
    </w:p>
    <w:p>
      <w:pPr>
        <w:pStyle w:val="2"/>
        <w:spacing w:line="360" w:lineRule="auto"/>
        <w:ind w:firstLine="570"/>
        <w:jc w:val="both"/>
        <w:rPr>
          <w:rFonts w:ascii="仿宋_GB2312" w:eastAsia="仿宋_GB2312"/>
          <w:sz w:val="32"/>
          <w:szCs w:val="32"/>
        </w:rPr>
      </w:pPr>
      <w:r>
        <w:rPr>
          <w:rFonts w:hint="eastAsia" w:ascii="黑体" w:hAnsi="宋体" w:eastAsia="黑体"/>
          <w:sz w:val="32"/>
          <w:szCs w:val="32"/>
        </w:rPr>
        <w:t>第十一条</w:t>
      </w:r>
      <w:r>
        <w:rPr>
          <w:rFonts w:hint="eastAsia" w:ascii="仿宋_GB2312" w:hAnsi="宋体" w:eastAsia="仿宋_GB2312"/>
          <w:b/>
          <w:sz w:val="32"/>
          <w:szCs w:val="32"/>
        </w:rPr>
        <w:t xml:space="preserve">  </w:t>
      </w:r>
      <w:r>
        <w:rPr>
          <w:rFonts w:hint="eastAsia" w:ascii="仿宋_GB2312" w:eastAsia="仿宋_GB2312"/>
          <w:sz w:val="32"/>
          <w:szCs w:val="32"/>
        </w:rPr>
        <w:t>在中国境内没有经常居所或者营业场所的境外机构、个人在境内申请品种登记的，应当委托具有法人资格的境内种子企业代理。</w:t>
      </w:r>
    </w:p>
    <w:p>
      <w:pPr>
        <w:pStyle w:val="2"/>
        <w:spacing w:line="360" w:lineRule="auto"/>
        <w:ind w:firstLine="570"/>
        <w:jc w:val="both"/>
        <w:rPr>
          <w:rFonts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b/>
          <w:sz w:val="32"/>
          <w:szCs w:val="32"/>
        </w:rPr>
        <w:t xml:space="preserve">  </w:t>
      </w:r>
      <w:r>
        <w:rPr>
          <w:rFonts w:hint="eastAsia" w:ascii="仿宋_GB2312" w:hAnsi="宋体" w:eastAsia="仿宋_GB2312"/>
          <w:sz w:val="32"/>
          <w:szCs w:val="32"/>
        </w:rPr>
        <w:t>申请登记的品种应当具备下列条件：</w:t>
      </w:r>
    </w:p>
    <w:p>
      <w:pPr>
        <w:pStyle w:val="2"/>
        <w:spacing w:line="360" w:lineRule="auto"/>
        <w:ind w:firstLine="570"/>
        <w:jc w:val="both"/>
        <w:rPr>
          <w:rFonts w:ascii="仿宋_GB2312" w:hAnsi="宋体" w:eastAsia="仿宋_GB2312"/>
          <w:sz w:val="32"/>
          <w:szCs w:val="32"/>
        </w:rPr>
      </w:pPr>
      <w:r>
        <w:rPr>
          <w:rFonts w:hint="eastAsia" w:ascii="仿宋_GB2312" w:hAnsi="宋体" w:eastAsia="仿宋_GB2312"/>
          <w:sz w:val="32"/>
          <w:szCs w:val="32"/>
        </w:rPr>
        <w:t>（一）人工选育或发现并经过改良；</w:t>
      </w:r>
    </w:p>
    <w:p>
      <w:pPr>
        <w:pStyle w:val="2"/>
        <w:spacing w:line="360" w:lineRule="auto"/>
        <w:ind w:firstLine="570"/>
        <w:jc w:val="both"/>
        <w:rPr>
          <w:rFonts w:ascii="仿宋_GB2312" w:hAnsi="宋体" w:eastAsia="仿宋_GB2312"/>
          <w:sz w:val="32"/>
          <w:szCs w:val="32"/>
        </w:rPr>
      </w:pPr>
      <w:r>
        <w:rPr>
          <w:rFonts w:hint="eastAsia" w:ascii="仿宋_GB2312" w:hAnsi="宋体" w:eastAsia="仿宋_GB2312"/>
          <w:sz w:val="32"/>
          <w:szCs w:val="32"/>
        </w:rPr>
        <w:t>（二）具备特异性、一致性、稳定性；</w:t>
      </w:r>
    </w:p>
    <w:p>
      <w:pPr>
        <w:pStyle w:val="2"/>
        <w:spacing w:line="360" w:lineRule="auto"/>
        <w:ind w:firstLine="570"/>
        <w:jc w:val="both"/>
        <w:rPr>
          <w:rFonts w:hint="eastAsia" w:ascii="仿宋_GB2312" w:hAnsi="宋体" w:eastAsia="仿宋_GB2312"/>
          <w:sz w:val="32"/>
          <w:szCs w:val="32"/>
        </w:rPr>
      </w:pPr>
      <w:r>
        <w:rPr>
          <w:rFonts w:hint="eastAsia" w:ascii="仿宋_GB2312" w:hAnsi="宋体" w:eastAsia="仿宋_GB2312"/>
          <w:sz w:val="32"/>
          <w:szCs w:val="32"/>
        </w:rPr>
        <w:t>（三）具有符合《农业植物品种命名规定》的品种名称。</w:t>
      </w:r>
    </w:p>
    <w:p>
      <w:pPr>
        <w:pStyle w:val="2"/>
        <w:spacing w:line="360" w:lineRule="auto"/>
        <w:ind w:firstLine="570"/>
        <w:jc w:val="both"/>
        <w:rPr>
          <w:rFonts w:ascii="仿宋_GB2312" w:hAnsi="宋体" w:eastAsia="仿宋_GB2312"/>
          <w:sz w:val="32"/>
          <w:szCs w:val="32"/>
        </w:rPr>
      </w:pPr>
      <w:r>
        <w:rPr>
          <w:rFonts w:hint="eastAsia" w:ascii="仿宋_GB2312" w:eastAsia="仿宋_GB2312"/>
          <w:sz w:val="32"/>
          <w:szCs w:val="32"/>
        </w:rPr>
        <w:t>申请登记具有植物新品种权的品种，还应当经过品种权人的书面同意。</w:t>
      </w:r>
    </w:p>
    <w:p>
      <w:pPr>
        <w:snapToGrid w:val="0"/>
        <w:spacing w:line="360" w:lineRule="auto"/>
        <w:ind w:firstLine="560"/>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sz w:val="32"/>
          <w:szCs w:val="32"/>
        </w:rPr>
        <w:t xml:space="preserve">  对新培育的品种，</w:t>
      </w:r>
      <w:r>
        <w:rPr>
          <w:rFonts w:hint="eastAsia" w:ascii="仿宋_GB2312" w:eastAsia="仿宋_GB2312"/>
          <w:sz w:val="32"/>
          <w:szCs w:val="32"/>
        </w:rPr>
        <w:t>申请者应当按照品种登记指南的要求提交以下材料</w:t>
      </w:r>
      <w:r>
        <w:rPr>
          <w:rFonts w:hint="eastAsia" w:ascii="仿宋_GB2312" w:hAnsi="宋体" w:eastAsia="仿宋_GB2312"/>
          <w:sz w:val="32"/>
          <w:szCs w:val="32"/>
        </w:rPr>
        <w:t>：</w:t>
      </w:r>
    </w:p>
    <w:p>
      <w:pPr>
        <w:snapToGrid w:val="0"/>
        <w:spacing w:line="360" w:lineRule="auto"/>
        <w:ind w:firstLine="640" w:firstLineChars="200"/>
        <w:rPr>
          <w:rFonts w:ascii="黑体" w:eastAsia="黑体"/>
          <w:sz w:val="32"/>
          <w:szCs w:val="32"/>
        </w:rPr>
      </w:pPr>
      <w:r>
        <w:rPr>
          <w:rFonts w:hint="eastAsia" w:ascii="仿宋_GB2312" w:eastAsia="仿宋_GB2312"/>
          <w:sz w:val="32"/>
          <w:szCs w:val="32"/>
        </w:rPr>
        <w:t>（一）申请表；</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品种特性、育种过程等的说明材料</w:t>
      </w:r>
      <w:r>
        <w:rPr>
          <w:rFonts w:hint="eastAsia" w:ascii="仿宋_GB2312" w:eastAsia="仿宋_GB2312"/>
          <w:sz w:val="32"/>
          <w:szCs w:val="32"/>
        </w:rPr>
        <w:t>；</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（三）特异性、一致性、稳定性测试报告；</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（四）种子、植株及果实等实物彩色照片；</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（五）品种权人的书面同意材料；</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（六）品种和申请材料合法性、真实性承诺书。</w:t>
      </w:r>
    </w:p>
    <w:p>
      <w:pPr>
        <w:snapToGrid w:val="0"/>
        <w:spacing w:line="360" w:lineRule="auto"/>
        <w:ind w:firstLine="643"/>
        <w:rPr>
          <w:rFonts w:hint="eastAsia" w:ascii="仿宋_GB2312" w:hAnsi="宋体" w:eastAsia="仿宋_GB2312" w:cs="黑体"/>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w:t>
      </w:r>
      <w:r>
        <w:rPr>
          <w:rFonts w:hint="eastAsia" w:ascii="仿宋_GB2312" w:hAnsi="宋体" w:eastAsia="仿宋_GB2312" w:cs="黑体"/>
          <w:sz w:val="32"/>
          <w:szCs w:val="32"/>
        </w:rPr>
        <w:t>本办法实施前已审定或者已销售种植的品种，申请者可以按照品种登记指南的要求，</w:t>
      </w:r>
      <w:r>
        <w:rPr>
          <w:rFonts w:hint="eastAsia" w:ascii="仿宋_GB2312" w:eastAsia="仿宋_GB2312"/>
          <w:sz w:val="32"/>
          <w:szCs w:val="32"/>
        </w:rPr>
        <w:t>提交申请表、品种生产销售应用情况或者品种特异性、一致性、稳定性说明材料，申请品种</w:t>
      </w:r>
      <w:r>
        <w:rPr>
          <w:rFonts w:hint="eastAsia" w:ascii="仿宋_GB2312" w:hAnsi="宋体" w:eastAsia="仿宋_GB2312" w:cs="黑体"/>
          <w:sz w:val="32"/>
          <w:szCs w:val="32"/>
        </w:rPr>
        <w:t>登记。</w:t>
      </w:r>
    </w:p>
    <w:p>
      <w:pPr>
        <w:pStyle w:val="2"/>
        <w:spacing w:line="360" w:lineRule="auto"/>
        <w:ind w:firstLine="570"/>
        <w:jc w:val="both"/>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w:t>
      </w:r>
      <w:r>
        <w:rPr>
          <w:rFonts w:hint="eastAsia" w:ascii="仿宋_GB2312" w:eastAsia="仿宋_GB2312"/>
          <w:sz w:val="32"/>
          <w:szCs w:val="32"/>
        </w:rPr>
        <w:t>省级人民政府农业主管部门对</w:t>
      </w:r>
      <w:r>
        <w:rPr>
          <w:rFonts w:hint="eastAsia" w:ascii="仿宋_GB2312" w:hAnsi="宋体" w:eastAsia="仿宋_GB2312"/>
          <w:sz w:val="32"/>
          <w:szCs w:val="32"/>
        </w:rPr>
        <w:t>申请者提交的材料，应当根据下列情况分别作出处理：</w:t>
      </w:r>
    </w:p>
    <w:p>
      <w:pPr>
        <w:pStyle w:val="2"/>
        <w:spacing w:line="360" w:lineRule="auto"/>
        <w:ind w:firstLine="570"/>
        <w:jc w:val="both"/>
        <w:rPr>
          <w:rFonts w:hint="eastAsia" w:ascii="仿宋_GB2312" w:hAnsi="宋体" w:eastAsia="仿宋_GB2312"/>
          <w:sz w:val="32"/>
          <w:szCs w:val="32"/>
        </w:rPr>
      </w:pPr>
      <w:r>
        <w:rPr>
          <w:rFonts w:hint="eastAsia" w:ascii="仿宋_GB2312" w:hAnsi="宋体" w:eastAsia="仿宋_GB2312"/>
          <w:sz w:val="32"/>
          <w:szCs w:val="32"/>
        </w:rPr>
        <w:t>（一）申请品种不需要品种登记的，即时告知申请者不予受理；</w:t>
      </w:r>
    </w:p>
    <w:p>
      <w:pPr>
        <w:pStyle w:val="2"/>
        <w:spacing w:line="360" w:lineRule="auto"/>
        <w:ind w:firstLine="570"/>
        <w:jc w:val="both"/>
        <w:rPr>
          <w:rFonts w:ascii="仿宋_GB2312" w:hAnsi="宋体" w:eastAsia="仿宋_GB2312"/>
          <w:sz w:val="32"/>
          <w:szCs w:val="32"/>
        </w:rPr>
      </w:pPr>
      <w:r>
        <w:rPr>
          <w:rFonts w:hint="eastAsia" w:ascii="仿宋_GB2312" w:hAnsi="宋体" w:eastAsia="仿宋_GB2312"/>
          <w:sz w:val="32"/>
          <w:szCs w:val="32"/>
        </w:rPr>
        <w:t>（二）申请材料存在错误的，允许申请者当场更正；</w:t>
      </w:r>
    </w:p>
    <w:p>
      <w:pPr>
        <w:pStyle w:val="2"/>
        <w:spacing w:line="360" w:lineRule="auto"/>
        <w:ind w:firstLine="570"/>
        <w:jc w:val="both"/>
        <w:rPr>
          <w:rFonts w:hint="eastAsia" w:ascii="仿宋_GB2312" w:hAnsi="宋体" w:eastAsia="仿宋_GB2312"/>
          <w:sz w:val="32"/>
          <w:szCs w:val="32"/>
        </w:rPr>
      </w:pPr>
      <w:r>
        <w:rPr>
          <w:rFonts w:hint="eastAsia" w:ascii="仿宋_GB2312" w:hAnsi="宋体" w:eastAsia="仿宋_GB2312"/>
          <w:sz w:val="32"/>
          <w:szCs w:val="32"/>
        </w:rPr>
        <w:t>（三）申请材料不齐全或者不符合法定形式的，应当当场或者在五个工作日内一次告知申请者需要补正的全部内容，逾期不告知的，自收到申请材料之日起即为受理；</w:t>
      </w:r>
    </w:p>
    <w:p>
      <w:pPr>
        <w:pStyle w:val="2"/>
        <w:spacing w:line="360" w:lineRule="auto"/>
        <w:ind w:firstLine="570"/>
        <w:jc w:val="both"/>
        <w:rPr>
          <w:rFonts w:hint="eastAsia" w:ascii="仿宋_GB2312" w:hAnsi="宋体" w:eastAsia="仿宋_GB2312"/>
          <w:sz w:val="32"/>
          <w:szCs w:val="32"/>
        </w:rPr>
      </w:pPr>
      <w:r>
        <w:rPr>
          <w:rFonts w:hint="eastAsia" w:ascii="仿宋_GB2312" w:hAnsi="宋体" w:eastAsia="仿宋_GB2312"/>
          <w:sz w:val="32"/>
          <w:szCs w:val="32"/>
        </w:rPr>
        <w:t>（四）申请材料齐全、符合法定形式，或者申请者按照要求提交全部补正材料的，予以受理。</w:t>
      </w:r>
    </w:p>
    <w:p>
      <w:pPr>
        <w:pStyle w:val="2"/>
        <w:spacing w:line="360" w:lineRule="auto"/>
        <w:ind w:firstLine="570"/>
        <w:jc w:val="both"/>
        <w:rPr>
          <w:rFonts w:hint="eastAsia" w:ascii="仿宋_GB2312" w:hAnsi="宋体" w:eastAsia="仿宋_GB2312" w:cs="黑体"/>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w:t>
      </w:r>
      <w:r>
        <w:rPr>
          <w:rFonts w:hint="eastAsia" w:ascii="仿宋_GB2312" w:eastAsia="仿宋_GB2312"/>
          <w:sz w:val="32"/>
          <w:szCs w:val="32"/>
        </w:rPr>
        <w:t>省级人民政府农业主管部门自受理品种登记申请之日起二十个工作日内，对申请者提交的申请材料进行书面审查，符合要求的，将审查意见报农业部</w:t>
      </w:r>
      <w:r>
        <w:rPr>
          <w:rFonts w:hint="eastAsia" w:ascii="仿宋_GB2312" w:hAnsi="宋体" w:eastAsia="仿宋_GB2312"/>
          <w:sz w:val="32"/>
          <w:szCs w:val="32"/>
        </w:rPr>
        <w:t>，并</w:t>
      </w:r>
      <w:r>
        <w:rPr>
          <w:rFonts w:hint="eastAsia" w:ascii="仿宋_GB2312" w:hAnsi="宋体" w:eastAsia="仿宋_GB2312" w:cs="黑体"/>
          <w:sz w:val="32"/>
          <w:szCs w:val="32"/>
        </w:rPr>
        <w:t>通知申请者提交种子样品。</w:t>
      </w:r>
      <w:r>
        <w:rPr>
          <w:rFonts w:hint="eastAsia" w:ascii="仿宋_GB2312" w:eastAsia="仿宋_GB2312"/>
          <w:sz w:val="32"/>
          <w:szCs w:val="32"/>
        </w:rPr>
        <w:t>经审查不符合要求的，书面通知申请者并说明理由。</w:t>
      </w:r>
    </w:p>
    <w:p>
      <w:pPr>
        <w:pStyle w:val="2"/>
        <w:spacing w:line="360" w:lineRule="auto"/>
        <w:ind w:firstLine="570"/>
        <w:jc w:val="both"/>
        <w:rPr>
          <w:rFonts w:hint="eastAsia" w:ascii="仿宋_GB2312" w:hAnsi="宋体" w:eastAsia="仿宋_GB2312"/>
          <w:sz w:val="32"/>
          <w:szCs w:val="32"/>
        </w:rPr>
      </w:pPr>
      <w:r>
        <w:rPr>
          <w:rFonts w:hint="eastAsia" w:ascii="仿宋_GB2312" w:hAnsi="宋体" w:eastAsia="仿宋_GB2312" w:cs="黑体"/>
          <w:sz w:val="32"/>
          <w:szCs w:val="32"/>
        </w:rPr>
        <w:t>申请者应当在接到通知后按照品种登记指南要求提交种子样品；未按要求提供的，视为撤回申请。</w:t>
      </w:r>
    </w:p>
    <w:p>
      <w:pPr>
        <w:pStyle w:val="2"/>
        <w:spacing w:line="360" w:lineRule="auto"/>
        <w:ind w:firstLine="570"/>
        <w:jc w:val="both"/>
        <w:rPr>
          <w:rFonts w:ascii="仿宋_GB2312" w:hAnsi="宋体" w:eastAsia="仿宋_GB2312"/>
          <w:b/>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w:t>
      </w:r>
      <w:r>
        <w:rPr>
          <w:rFonts w:hint="eastAsia" w:ascii="仿宋_GB2312" w:eastAsia="仿宋_GB2312"/>
          <w:sz w:val="32"/>
          <w:szCs w:val="32"/>
        </w:rPr>
        <w:t>省级人民政府农业主管部门在二十个工作日内不能作出审查决定的，经本部门负责人批准，可以延长十个工作日，并将延长期限理由告知申请者。</w:t>
      </w:r>
    </w:p>
    <w:p>
      <w:pPr>
        <w:pStyle w:val="2"/>
        <w:spacing w:line="360" w:lineRule="auto"/>
        <w:ind w:firstLine="570"/>
        <w:jc w:val="center"/>
        <w:rPr>
          <w:rFonts w:ascii="黑体" w:hAnsi="宋体" w:eastAsia="黑体"/>
          <w:sz w:val="32"/>
          <w:szCs w:val="32"/>
        </w:rPr>
      </w:pPr>
      <w:r>
        <w:rPr>
          <w:rFonts w:hint="eastAsia" w:ascii="黑体" w:hAnsi="宋体" w:eastAsia="黑体"/>
          <w:sz w:val="32"/>
          <w:szCs w:val="32"/>
        </w:rPr>
        <w:t>第三章 登记与公告</w:t>
      </w:r>
    </w:p>
    <w:p>
      <w:pPr>
        <w:pStyle w:val="2"/>
        <w:spacing w:line="360" w:lineRule="auto"/>
        <w:ind w:firstLine="560"/>
        <w:jc w:val="both"/>
        <w:rPr>
          <w:rFonts w:hint="eastAsia" w:ascii="仿宋_GB2312" w:eastAsia="仿宋_GB2312"/>
          <w:sz w:val="32"/>
          <w:szCs w:val="32"/>
        </w:rPr>
      </w:pPr>
      <w:r>
        <w:rPr>
          <w:rFonts w:hint="eastAsia" w:ascii="黑体" w:hAnsi="宋体" w:eastAsia="黑体"/>
          <w:sz w:val="32"/>
          <w:szCs w:val="32"/>
        </w:rPr>
        <w:t>第十八条</w:t>
      </w:r>
      <w:r>
        <w:rPr>
          <w:rFonts w:hint="eastAsia" w:ascii="仿宋_GB2312" w:hAnsi="宋体" w:eastAsia="仿宋_GB2312"/>
          <w:b/>
          <w:sz w:val="32"/>
          <w:szCs w:val="32"/>
        </w:rPr>
        <w:t xml:space="preserve">  </w:t>
      </w:r>
      <w:r>
        <w:rPr>
          <w:rFonts w:hint="eastAsia" w:ascii="仿宋_GB2312" w:eastAsia="仿宋_GB2312"/>
          <w:sz w:val="32"/>
          <w:szCs w:val="32"/>
        </w:rPr>
        <w:t>农业部自收到省级人民政府农业主管部门的审查意见之日起二十个工作日内进行复核。对符合规定并按规定提交种子样品的，予以登记，颁发登记证书；不予登记的，书面通知申请者并说明理由。</w:t>
      </w:r>
    </w:p>
    <w:p>
      <w:pPr>
        <w:pStyle w:val="2"/>
        <w:spacing w:line="360" w:lineRule="auto"/>
        <w:ind w:firstLine="560"/>
        <w:jc w:val="both"/>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登记证书内容包括：登记编号、作物种类、品种名称、申请者、育种者、品种来源、适宜种植区域及季节等。</w:t>
      </w:r>
    </w:p>
    <w:p>
      <w:pPr>
        <w:pStyle w:val="2"/>
        <w:spacing w:line="360" w:lineRule="auto"/>
        <w:ind w:firstLine="560"/>
        <w:jc w:val="both"/>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b/>
          <w:sz w:val="32"/>
          <w:szCs w:val="32"/>
        </w:rPr>
        <w:t xml:space="preserve">  </w:t>
      </w:r>
      <w:r>
        <w:rPr>
          <w:rFonts w:hint="eastAsia" w:ascii="仿宋_GB2312" w:eastAsia="仿宋_GB2312"/>
          <w:sz w:val="32"/>
          <w:szCs w:val="32"/>
        </w:rPr>
        <w:t>农业部将品种登记信息进行公告，公告内容包括：登记编号、作物种类、品种名称、申请者、育种者、品种来源、特征特性、品质、抗性、产量、栽培技术要点、适宜种植区域及季节等。</w:t>
      </w:r>
    </w:p>
    <w:p>
      <w:pPr>
        <w:pStyle w:val="2"/>
        <w:spacing w:line="360" w:lineRule="auto"/>
        <w:ind w:firstLine="560"/>
        <w:jc w:val="both"/>
        <w:rPr>
          <w:rFonts w:hint="eastAsia" w:ascii="仿宋_GB2312" w:hAnsi="宋体" w:eastAsia="仿宋_GB2312"/>
          <w:sz w:val="32"/>
          <w:szCs w:val="32"/>
        </w:rPr>
      </w:pPr>
      <w:r>
        <w:rPr>
          <w:rFonts w:hint="eastAsia" w:ascii="仿宋_GB2312" w:hAnsi="宋体" w:eastAsia="仿宋_GB2312"/>
          <w:sz w:val="32"/>
          <w:szCs w:val="32"/>
        </w:rPr>
        <w:t>登记编号格式为：GPD +作物种类+(年号)+ 2位数字的省份代号+ 4位数字顺序号。</w:t>
      </w:r>
    </w:p>
    <w:p>
      <w:pPr>
        <w:pStyle w:val="2"/>
        <w:spacing w:line="360" w:lineRule="auto"/>
        <w:ind w:firstLine="560"/>
        <w:jc w:val="both"/>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cs="黑体"/>
          <w:sz w:val="32"/>
          <w:szCs w:val="32"/>
        </w:rPr>
        <w:t xml:space="preserve"> </w:t>
      </w:r>
      <w:r>
        <w:rPr>
          <w:rFonts w:hint="eastAsia" w:ascii="仿宋_GB2312" w:eastAsia="仿宋_GB2312"/>
          <w:sz w:val="32"/>
          <w:szCs w:val="32"/>
        </w:rPr>
        <w:t xml:space="preserve"> 登记证书载明的品种名称为该品种的通用名称，禁止在生产、销售、推广过程中擅自更改。</w:t>
      </w:r>
    </w:p>
    <w:p>
      <w:pPr>
        <w:pStyle w:val="2"/>
        <w:spacing w:line="360" w:lineRule="auto"/>
        <w:ind w:firstLine="560"/>
        <w:jc w:val="both"/>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b/>
          <w:sz w:val="32"/>
          <w:szCs w:val="32"/>
        </w:rPr>
        <w:t xml:space="preserve">  </w:t>
      </w:r>
      <w:r>
        <w:rPr>
          <w:rFonts w:hint="eastAsia" w:ascii="仿宋_GB2312" w:eastAsia="仿宋_GB2312"/>
          <w:sz w:val="32"/>
          <w:szCs w:val="32"/>
        </w:rPr>
        <w:t>已登记品种，申请者要求变更登记内容的，应当向原受理的省级人民政府农业主管部门提出变更申请，并提交相关证明材料。</w:t>
      </w:r>
    </w:p>
    <w:p>
      <w:pPr>
        <w:adjustRightInd w:val="0"/>
        <w:snapToGrid w:val="0"/>
        <w:spacing w:line="360" w:lineRule="auto"/>
        <w:ind w:right="281" w:rightChars="134" w:firstLine="627" w:firstLineChars="196"/>
        <w:rPr>
          <w:rFonts w:ascii="仿宋_GB2312" w:hAnsi="宋体" w:eastAsia="仿宋_GB2312"/>
          <w:sz w:val="32"/>
          <w:szCs w:val="32"/>
        </w:rPr>
      </w:pPr>
      <w:r>
        <w:rPr>
          <w:rFonts w:hint="eastAsia" w:ascii="仿宋_GB2312" w:hAnsi="宋体" w:eastAsia="仿宋_GB2312"/>
          <w:sz w:val="32"/>
          <w:szCs w:val="32"/>
        </w:rPr>
        <w:t>原受理的</w:t>
      </w:r>
      <w:r>
        <w:rPr>
          <w:rFonts w:hint="eastAsia" w:ascii="仿宋_GB2312" w:eastAsia="仿宋_GB2312"/>
          <w:sz w:val="32"/>
          <w:szCs w:val="32"/>
        </w:rPr>
        <w:t>省级人民政府农业主管部门对申请者提交的材料进行书面审查，符合要求的，报农业部予以变更并公告，不再提交</w:t>
      </w:r>
      <w:r>
        <w:rPr>
          <w:rFonts w:hint="eastAsia" w:ascii="仿宋_GB2312" w:hAnsi="宋体" w:eastAsia="仿宋_GB2312"/>
          <w:sz w:val="32"/>
          <w:szCs w:val="32"/>
        </w:rPr>
        <w:t>种子样品。</w:t>
      </w:r>
    </w:p>
    <w:p>
      <w:pPr>
        <w:pStyle w:val="2"/>
        <w:spacing w:line="360" w:lineRule="auto"/>
        <w:jc w:val="center"/>
        <w:rPr>
          <w:rFonts w:ascii="黑体" w:hAnsi="宋体" w:eastAsia="黑体"/>
          <w:sz w:val="32"/>
          <w:szCs w:val="32"/>
        </w:rPr>
      </w:pPr>
      <w:r>
        <w:rPr>
          <w:rFonts w:hint="eastAsia" w:ascii="黑体" w:hAnsi="宋体" w:eastAsia="黑体"/>
          <w:sz w:val="32"/>
          <w:szCs w:val="32"/>
        </w:rPr>
        <w:t>第四章  监督管理</w:t>
      </w:r>
    </w:p>
    <w:p>
      <w:pPr>
        <w:pStyle w:val="2"/>
        <w:spacing w:line="360" w:lineRule="auto"/>
        <w:ind w:firstLine="560"/>
        <w:jc w:val="both"/>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cs="黑体"/>
          <w:b/>
          <w:sz w:val="32"/>
          <w:szCs w:val="32"/>
        </w:rPr>
        <w:t xml:space="preserve">  </w:t>
      </w:r>
      <w:r>
        <w:rPr>
          <w:rFonts w:hint="eastAsia" w:ascii="仿宋_GB2312" w:hAnsi="宋体" w:eastAsia="仿宋_GB2312"/>
          <w:sz w:val="32"/>
          <w:szCs w:val="32"/>
        </w:rPr>
        <w:t>农业部推进品种登记平台建设，逐步实行网上办理登记申请与受理，在统一的政府信息发布平台上发布品种登记、变更、撤销、监督管理等信息。</w:t>
      </w:r>
    </w:p>
    <w:p>
      <w:pPr>
        <w:snapToGrid w:val="0"/>
        <w:spacing w:line="360" w:lineRule="auto"/>
        <w:ind w:firstLine="627" w:firstLineChars="196"/>
        <w:rPr>
          <w:rFonts w:hint="eastAsia" w:ascii="仿宋_GB2312" w:eastAsia="仿宋_GB2312"/>
          <w:sz w:val="32"/>
          <w:szCs w:val="32"/>
        </w:rPr>
      </w:pPr>
      <w:r>
        <w:rPr>
          <w:rFonts w:hint="eastAsia" w:ascii="黑体" w:hAnsi="宋体" w:eastAsia="黑体"/>
          <w:sz w:val="32"/>
          <w:szCs w:val="32"/>
        </w:rPr>
        <w:t>第二十四条</w:t>
      </w:r>
      <w:r>
        <w:rPr>
          <w:rFonts w:hint="eastAsia" w:ascii="仿宋_GB2312" w:eastAsia="仿宋_GB2312" w:cs="黑体"/>
          <w:sz w:val="32"/>
          <w:szCs w:val="32"/>
        </w:rPr>
        <w:t xml:space="preserve"> </w:t>
      </w:r>
      <w:r>
        <w:rPr>
          <w:rFonts w:hint="eastAsia" w:ascii="仿宋_GB2312" w:eastAsia="仿宋_GB2312"/>
          <w:sz w:val="32"/>
          <w:szCs w:val="32"/>
        </w:rPr>
        <w:t xml:space="preserve"> 农业部对省级人民政府农业主管部门开展品种登记工作情况进行监督检查，及时纠正违法行为，责令限期改正，对有关责任人员依法给予处分。</w:t>
      </w:r>
    </w:p>
    <w:p>
      <w:pPr>
        <w:snapToGrid w:val="0"/>
        <w:spacing w:line="360" w:lineRule="auto"/>
        <w:ind w:firstLine="627" w:firstLineChars="196"/>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b/>
          <w:sz w:val="32"/>
          <w:szCs w:val="32"/>
        </w:rPr>
        <w:t xml:space="preserve">  </w:t>
      </w:r>
      <w:r>
        <w:rPr>
          <w:rFonts w:hint="eastAsia" w:ascii="仿宋_GB2312" w:eastAsia="仿宋_GB2312"/>
          <w:sz w:val="32"/>
          <w:szCs w:val="32"/>
        </w:rPr>
        <w:t>省级人民政府农业主管部门发现已登记品种存在申请文件、种子样品不实，或者已登记品种出现不可克服的严重缺陷等情形的，应当向农业部提出撤销该品种登记的意见。</w:t>
      </w:r>
    </w:p>
    <w:p>
      <w:pPr>
        <w:snapToGrid w:val="0"/>
        <w:spacing w:line="360" w:lineRule="auto"/>
        <w:ind w:firstLine="627" w:firstLineChars="196"/>
        <w:rPr>
          <w:rFonts w:hint="eastAsia" w:ascii="仿宋_GB2312" w:eastAsia="仿宋_GB2312"/>
          <w:sz w:val="32"/>
          <w:szCs w:val="32"/>
        </w:rPr>
      </w:pPr>
      <w:r>
        <w:rPr>
          <w:rFonts w:hint="eastAsia" w:ascii="仿宋_GB2312" w:eastAsia="仿宋_GB2312"/>
          <w:sz w:val="32"/>
          <w:szCs w:val="32"/>
        </w:rPr>
        <w:t>农业部撤销品种登记的，应当公告，停止推广；对于登记品种申请文件、种子样品不实的，按照规定将申请者的违法信息记入社会诚信档案，向社会公布。</w:t>
      </w:r>
    </w:p>
    <w:p>
      <w:pPr>
        <w:snapToGrid w:val="0"/>
        <w:spacing w:line="360" w:lineRule="auto"/>
        <w:ind w:firstLine="627" w:firstLineChars="196"/>
        <w:rPr>
          <w:rFonts w:hint="eastAsia"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 xml:space="preserve"> 申请者在申请品种登记过程中有欺骗、贿赂等不正当行为的，三年内不受理其申请。</w:t>
      </w:r>
    </w:p>
    <w:p>
      <w:pPr>
        <w:snapToGrid w:val="0"/>
        <w:spacing w:line="360" w:lineRule="auto"/>
        <w:ind w:firstLine="627" w:firstLineChars="196"/>
        <w:rPr>
          <w:rFonts w:hint="eastAsia"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b/>
          <w:sz w:val="32"/>
          <w:szCs w:val="32"/>
        </w:rPr>
        <w:t xml:space="preserve"> </w:t>
      </w:r>
      <w:r>
        <w:rPr>
          <w:rFonts w:hint="eastAsia" w:ascii="仿宋_GB2312" w:eastAsia="仿宋_GB2312"/>
          <w:sz w:val="32"/>
          <w:szCs w:val="32"/>
        </w:rPr>
        <w:t>品种测试、试验机构伪造测试、试验数据或者出具虚假证明的，省级人民政府农业主管部门应当依照《种子法》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p>
      <w:pPr>
        <w:snapToGrid w:val="0"/>
        <w:spacing w:line="360" w:lineRule="auto"/>
        <w:ind w:firstLine="627" w:firstLineChars="196"/>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hAnsi="宋体" w:eastAsia="仿宋_GB2312"/>
          <w:b/>
          <w:sz w:val="32"/>
          <w:szCs w:val="32"/>
        </w:rPr>
        <w:t xml:space="preserve">  </w:t>
      </w:r>
      <w:r>
        <w:rPr>
          <w:rFonts w:hint="eastAsia" w:ascii="仿宋_GB2312" w:eastAsia="仿宋_GB2312"/>
          <w:sz w:val="32"/>
          <w:szCs w:val="32"/>
        </w:rPr>
        <w:t>有下列行为之一的，由县级以上人民政府农业主管部门依照《种子法》第七十八条规定，责令停止违法行为，没收违法所得和种子，并处二万元以上二十万元以下罚款：</w:t>
      </w:r>
    </w:p>
    <w:p>
      <w:pPr>
        <w:snapToGrid w:val="0"/>
        <w:spacing w:line="360" w:lineRule="auto"/>
        <w:ind w:firstLine="627" w:firstLineChars="196"/>
        <w:rPr>
          <w:rFonts w:hint="eastAsia" w:ascii="仿宋_GB2312" w:eastAsia="仿宋_GB2312"/>
          <w:sz w:val="32"/>
          <w:szCs w:val="32"/>
        </w:rPr>
      </w:pPr>
      <w:r>
        <w:rPr>
          <w:rFonts w:hint="eastAsia" w:ascii="仿宋_GB2312" w:eastAsia="仿宋_GB2312"/>
          <w:sz w:val="32"/>
          <w:szCs w:val="32"/>
        </w:rPr>
        <w:t>（一）对应当登记未经登记的农作物品种进行推广，或者以登记品种的名义进行销售的；</w:t>
      </w:r>
    </w:p>
    <w:p>
      <w:pPr>
        <w:snapToGrid w:val="0"/>
        <w:spacing w:line="360" w:lineRule="auto"/>
        <w:ind w:firstLine="627" w:firstLineChars="196"/>
        <w:rPr>
          <w:rFonts w:hint="eastAsia" w:ascii="仿宋_GB2312" w:hAnsi="仿宋_GB2312" w:eastAsia="仿宋_GB2312" w:cs="仿宋_GB2312"/>
          <w:b/>
          <w:color w:val="000000"/>
          <w:sz w:val="32"/>
          <w:szCs w:val="32"/>
        </w:rPr>
      </w:pPr>
      <w:r>
        <w:rPr>
          <w:rFonts w:hint="eastAsia" w:ascii="仿宋_GB2312" w:eastAsia="仿宋_GB2312"/>
          <w:sz w:val="32"/>
          <w:szCs w:val="32"/>
        </w:rPr>
        <w:t>（二）对已撤销登记的农作物品种进行推广，或者以登记品种的名义进行销售的。</w:t>
      </w:r>
    </w:p>
    <w:p>
      <w:pPr>
        <w:snapToGrid w:val="0"/>
        <w:spacing w:line="360" w:lineRule="auto"/>
        <w:ind w:firstLine="627" w:firstLineChars="196"/>
        <w:rPr>
          <w:rFonts w:hint="eastAsia" w:ascii="仿宋_GB2312" w:hAnsi="宋体" w:eastAsia="仿宋_GB2312"/>
          <w:sz w:val="32"/>
          <w:szCs w:val="32"/>
        </w:rPr>
      </w:pPr>
      <w:r>
        <w:rPr>
          <w:rFonts w:hint="eastAsia" w:ascii="黑体" w:hAnsi="宋体" w:eastAsia="黑体"/>
          <w:sz w:val="32"/>
          <w:szCs w:val="32"/>
        </w:rPr>
        <w:t>第二十九条</w:t>
      </w:r>
      <w:r>
        <w:rPr>
          <w:rFonts w:hint="eastAsia" w:ascii="仿宋_GB2312" w:hAnsi="宋体" w:eastAsia="仿宋_GB2312" w:cs="黑体"/>
          <w:sz w:val="32"/>
          <w:szCs w:val="32"/>
        </w:rPr>
        <w:t xml:space="preserve">  </w:t>
      </w:r>
      <w:r>
        <w:rPr>
          <w:rFonts w:hint="eastAsia" w:ascii="仿宋_GB2312" w:hAnsi="宋体" w:eastAsia="仿宋_GB2312"/>
          <w:sz w:val="32"/>
          <w:szCs w:val="32"/>
        </w:rPr>
        <w:t>品种登记工作人员应当忠于职守，公正廉洁，</w:t>
      </w:r>
      <w:r>
        <w:rPr>
          <w:rFonts w:hint="eastAsia" w:ascii="仿宋_GB2312" w:hAnsi="宋体" w:eastAsia="仿宋_GB2312" w:cs="黑体"/>
          <w:sz w:val="32"/>
          <w:szCs w:val="32"/>
        </w:rPr>
        <w:t>对在登记过程中获知的申请者的商业秘密负有保密义务，不得擅自对外提供登记品种的种子样品或者谋取非法利益。</w:t>
      </w:r>
      <w:r>
        <w:rPr>
          <w:rFonts w:hint="eastAsia" w:ascii="仿宋_GB2312" w:hAnsi="宋体" w:eastAsia="仿宋_GB2312"/>
          <w:sz w:val="32"/>
          <w:szCs w:val="32"/>
        </w:rPr>
        <w:t>不依法履行职责，弄虚作假、徇私舞弊的，依法给予处分；自处分决定作出之日起五年内不得从事品种登记工作。</w:t>
      </w:r>
    </w:p>
    <w:p>
      <w:pPr>
        <w:pStyle w:val="2"/>
        <w:spacing w:line="360" w:lineRule="auto"/>
        <w:jc w:val="center"/>
        <w:rPr>
          <w:rFonts w:ascii="黑体" w:hAnsi="宋体" w:eastAsia="黑体"/>
          <w:sz w:val="32"/>
          <w:szCs w:val="32"/>
        </w:rPr>
      </w:pPr>
      <w:r>
        <w:rPr>
          <w:rFonts w:hint="eastAsia" w:ascii="黑体" w:hAnsi="宋体" w:eastAsia="黑体"/>
          <w:sz w:val="32"/>
          <w:szCs w:val="32"/>
        </w:rPr>
        <w:t>第五章  附  则</w:t>
      </w:r>
    </w:p>
    <w:p>
      <w:pPr>
        <w:snapToGrid w:val="0"/>
        <w:spacing w:line="360" w:lineRule="auto"/>
        <w:ind w:firstLine="640" w:firstLineChars="200"/>
        <w:rPr>
          <w:rFonts w:hint="eastAsia" w:ascii="仿宋_GB2312" w:hAnsi="宋体" w:eastAsia="仿宋_GB2312"/>
          <w:sz w:val="32"/>
          <w:szCs w:val="32"/>
        </w:rPr>
      </w:pPr>
      <w:r>
        <w:rPr>
          <w:rFonts w:hint="eastAsia" w:ascii="黑体" w:hAnsi="宋体" w:eastAsia="黑体"/>
          <w:sz w:val="32"/>
          <w:szCs w:val="32"/>
        </w:rPr>
        <w:t>第三十条</w:t>
      </w:r>
      <w:r>
        <w:rPr>
          <w:rFonts w:hint="eastAsia" w:ascii="仿宋_GB2312" w:hAnsi="宋体" w:eastAsia="仿宋_GB2312" w:cs="黑体"/>
          <w:sz w:val="32"/>
          <w:szCs w:val="32"/>
        </w:rPr>
        <w:t xml:space="preserve">  品种适应性、</w:t>
      </w:r>
      <w:r>
        <w:rPr>
          <w:rFonts w:hint="eastAsia" w:ascii="仿宋_GB2312" w:hAnsi="宋体" w:eastAsia="仿宋_GB2312"/>
          <w:sz w:val="32"/>
          <w:szCs w:val="32"/>
        </w:rPr>
        <w:t>抗性鉴定以及特异性、一致性、稳定性测试，申请者可以自行开展，也可以委托其他机构开展。</w:t>
      </w:r>
    </w:p>
    <w:p>
      <w:pPr>
        <w:snapToGrid w:val="0"/>
        <w:spacing w:line="360" w:lineRule="auto"/>
        <w:ind w:firstLine="640" w:firstLineChars="200"/>
      </w:pPr>
      <w:r>
        <w:rPr>
          <w:rFonts w:hint="eastAsia" w:ascii="黑体" w:eastAsia="黑体"/>
          <w:sz w:val="32"/>
          <w:szCs w:val="32"/>
        </w:rPr>
        <w:t>第三十一条</w:t>
      </w:r>
      <w:r>
        <w:rPr>
          <w:rFonts w:hint="eastAsia"/>
          <w:sz w:val="32"/>
          <w:szCs w:val="32"/>
        </w:rPr>
        <w:t xml:space="preserve">  </w:t>
      </w:r>
      <w:r>
        <w:rPr>
          <w:rFonts w:hint="eastAsia" w:ascii="仿宋_GB2312" w:eastAsia="仿宋_GB2312"/>
          <w:sz w:val="32"/>
          <w:szCs w:val="32"/>
        </w:rPr>
        <w:t>本办法自2017年5月1日起施行。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256F5"/>
    <w:rsid w:val="2E6256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link w:val="4"/>
    <w:semiHidden/>
    <w:uiPriority w:val="0"/>
    <w:rPr>
      <w:rFonts w:ascii="Verdana" w:hAnsi="Verdana"/>
      <w:kern w:val="0"/>
      <w:sz w:val="20"/>
      <w:szCs w:val="20"/>
      <w:lang w:eastAsia="en-US"/>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w:basedOn w:val="1"/>
    <w:link w:val="3"/>
    <w:qFormat/>
    <w:uiPriority w:val="0"/>
    <w:pPr>
      <w:widowControl/>
      <w:spacing w:after="160" w:line="240" w:lineRule="exact"/>
      <w:jc w:val="left"/>
    </w:pPr>
    <w:rPr>
      <w:rFonts w:ascii="Verdana" w:hAnsi="Verdana"/>
      <w:kern w:val="0"/>
      <w:sz w:val="20"/>
      <w:szCs w:val="20"/>
      <w:lang w:eastAsia="en-US"/>
    </w:rPr>
  </w:style>
  <w:style w:type="character" w:styleId="5">
    <w:name w:val="page number"/>
    <w:basedOn w:val="3"/>
    <w:uiPriority w:val="0"/>
  </w:style>
  <w:style w:type="character" w:styleId="6">
    <w:name w:val="annotation reference"/>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2017-04-01T07:12:00Z</dcterms:created>
  <dc:creator>Administrator</dc:creator>
  <cp:lastModifiedBy>Administrator</cp:lastModifiedBy>
  <dcterms:modified xsi:type="dcterms:W3CDTF">2017-04-01T07:13:45Z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